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E7" w:rsidRDefault="008C13E7" w:rsidP="008C13E7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918585" cy="2743835"/>
            <wp:effectExtent l="0" t="0" r="571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pellingerror"/>
          <w:rFonts w:ascii="Calibri" w:hAnsi="Calibri" w:cs="Calibri"/>
          <w:sz w:val="22"/>
          <w:szCs w:val="22"/>
        </w:rPr>
        <w:t>Create</w:t>
      </w:r>
      <w:r>
        <w:rPr>
          <w:rStyle w:val="normaltextrun"/>
          <w:rFonts w:ascii="Calibri" w:hAnsi="Calibri" w:cs="Calibri"/>
          <w:sz w:val="22"/>
          <w:szCs w:val="22"/>
        </w:rPr>
        <w:t> an </w:t>
      </w:r>
      <w:r>
        <w:rPr>
          <w:rStyle w:val="spellingerror"/>
          <w:rFonts w:ascii="Calibri" w:hAnsi="Calibri" w:cs="Calibri"/>
          <w:sz w:val="22"/>
          <w:szCs w:val="22"/>
        </w:rPr>
        <w:t>account</w:t>
      </w:r>
      <w:r>
        <w:rPr>
          <w:rStyle w:val="normaltextrun"/>
          <w:rFonts w:ascii="Calibri" w:hAnsi="Calibri" w:cs="Calibri"/>
          <w:sz w:val="22"/>
          <w:szCs w:val="22"/>
        </w:rPr>
        <w:t> on IGN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http://professionnels.ign.fr/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8C13E7" w:rsidRDefault="008C13E7" w:rsidP="008C13E7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Subscribe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IGN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The contrat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licence, 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use :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N°3 " Utilisation des ressources du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Géoportail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Utlisateur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final professionnel"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CF3445" wp14:editId="09BBEF74">
            <wp:simplePos x="0" y="0"/>
            <wp:positionH relativeFrom="margin">
              <wp:align>center</wp:align>
            </wp:positionH>
            <wp:positionV relativeFrom="paragraph">
              <wp:posOffset>286492</wp:posOffset>
            </wp:positionV>
            <wp:extent cx="3210560" cy="2030095"/>
            <wp:effectExtent l="0" t="0" r="8890" b="825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quantity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usage, the free </w:t>
      </w:r>
      <w:r>
        <w:rPr>
          <w:rStyle w:val="spellingerror"/>
          <w:rFonts w:ascii="Calibri" w:hAnsi="Calibri" w:cs="Calibri"/>
          <w:sz w:val="22"/>
          <w:szCs w:val="22"/>
        </w:rPr>
        <w:t>offer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suitable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tests. Up to 10 000 Transactions.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Pr="008C13E7" w:rsidRDefault="008C13E7" w:rsidP="008C13E7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 Access Mode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below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 </w:t>
      </w:r>
      <w:r>
        <w:rPr>
          <w:rStyle w:val="spellingerror"/>
          <w:rFonts w:ascii="Calibri" w:hAnsi="Calibri" w:cs="Calibri"/>
          <w:sz w:val="22"/>
          <w:szCs w:val="22"/>
        </w:rPr>
        <w:t>details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Choose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tested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: </w:t>
      </w:r>
      <w:r>
        <w:rPr>
          <w:rStyle w:val="spellingerror"/>
          <w:rFonts w:ascii="Calibri" w:hAnsi="Calibri" w:cs="Calibri"/>
          <w:sz w:val="22"/>
          <w:szCs w:val="22"/>
        </w:rPr>
        <w:t>only</w:t>
      </w:r>
      <w:r>
        <w:rPr>
          <w:rStyle w:val="normaltextrun"/>
          <w:rFonts w:ascii="Calibri" w:hAnsi="Calibri" w:cs="Calibri"/>
          <w:sz w:val="22"/>
          <w:szCs w:val="22"/>
        </w:rPr>
        <w:t> WMS / WMTS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used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1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Submit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subscription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request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 KEY to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IGN are accessible </w:t>
      </w:r>
      <w:r>
        <w:rPr>
          <w:rStyle w:val="spellingerror"/>
          <w:rFonts w:ascii="Calibri" w:hAnsi="Calibri" w:cs="Calibri"/>
          <w:sz w:val="22"/>
          <w:szCs w:val="22"/>
        </w:rPr>
        <w:t>through</w:t>
      </w:r>
      <w:r>
        <w:rPr>
          <w:rStyle w:val="normaltextrun"/>
          <w:rFonts w:ascii="Calibri" w:hAnsi="Calibri" w:cs="Calibri"/>
          <w:sz w:val="22"/>
          <w:szCs w:val="22"/>
        </w:rPr>
        <w:t> 6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mode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depending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on the </w:t>
      </w:r>
      <w:r>
        <w:rPr>
          <w:rStyle w:val="spellingerror"/>
          <w:rFonts w:ascii="Calibri" w:hAnsi="Calibri" w:cs="Calibri"/>
          <w:sz w:val="22"/>
          <w:szCs w:val="22"/>
        </w:rPr>
        <w:t>way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consume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those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services. For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to consume OGC Services on web (ArcGIS Online / Portal for ArcGIS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 . 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Customers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should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service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Referer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Here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are all types of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IGN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Pr="008C13E7" w:rsidRDefault="008C13E7" w:rsidP="008C13E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Referer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: </w:t>
      </w:r>
      <w:r>
        <w:rPr>
          <w:rStyle w:val="normaltextrun"/>
          <w:rFonts w:ascii="Calibri" w:hAnsi="Calibri" w:cs="Calibri"/>
          <w:sz w:val="22"/>
          <w:szCs w:val="22"/>
        </w:rPr>
        <w:t>For use in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website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Enter the URL of the site (HTTP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referer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header),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www.ign.fr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. You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enter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multiple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URLs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separated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 commas and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without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spaces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www.ign.fr</w:t>
        </w:r>
      </w:hyperlink>
      <w:r>
        <w:rPr>
          <w:rStyle w:val="normaltextrun"/>
          <w:rFonts w:ascii="Calibri" w:hAnsi="Calibri" w:cs="Calibri"/>
          <w:sz w:val="22"/>
          <w:szCs w:val="22"/>
        </w:rPr>
        <w:t>, professionnels.ign.fr. 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wildcard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*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replace </w:t>
      </w:r>
      <w:r>
        <w:rPr>
          <w:rStyle w:val="normaltextrun"/>
          <w:rFonts w:ascii="Calibri" w:hAnsi="Calibri" w:cs="Calibri"/>
          <w:sz w:val="22"/>
          <w:szCs w:val="22"/>
        </w:rPr>
        <w:lastRenderedPageBreak/>
        <w:t>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sequence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characters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« </w:t>
      </w:r>
      <w:r w:rsidRPr="008C13E7">
        <w:rPr>
          <w:rStyle w:val="normaltextrun"/>
          <w:rFonts w:ascii="Calibri" w:hAnsi="Calibri" w:cs="Calibri"/>
          <w:sz w:val="22"/>
          <w:szCs w:val="22"/>
          <w:highlight w:val="yellow"/>
        </w:rPr>
        <w:t>.</w:t>
      </w:r>
      <w:proofErr w:type="gramEnd"/>
      <w:r w:rsidRPr="008C13E7">
        <w:rPr>
          <w:rStyle w:val="normaltextrun"/>
          <w:rFonts w:ascii="Calibri" w:hAnsi="Calibri" w:cs="Calibri"/>
          <w:sz w:val="22"/>
          <w:szCs w:val="22"/>
          <w:highlight w:val="yellow"/>
        </w:rPr>
        <w:t>* Ign.fr. *</w:t>
      </w:r>
      <w:r>
        <w:rPr>
          <w:rStyle w:val="normaltextrun"/>
          <w:rFonts w:ascii="Calibri" w:hAnsi="Calibri" w:cs="Calibri"/>
          <w:sz w:val="22"/>
          <w:szCs w:val="22"/>
        </w:rPr>
        <w:t> »</w:t>
      </w:r>
      <w:proofErr w:type="spellStart"/>
      <w:r w:rsidRPr="008C13E7"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 w:rsidRPr="008C13E7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8C13E7">
        <w:rPr>
          <w:rStyle w:val="spellingerror"/>
          <w:rFonts w:ascii="Calibri" w:hAnsi="Calibri" w:cs="Calibri"/>
          <w:sz w:val="22"/>
          <w:szCs w:val="22"/>
        </w:rPr>
        <w:t>allow</w:t>
      </w:r>
      <w:proofErr w:type="spellEnd"/>
      <w:r w:rsidRPr="008C13E7">
        <w:rPr>
          <w:rStyle w:val="normaltextrun"/>
          <w:rFonts w:ascii="Calibri" w:hAnsi="Calibri" w:cs="Calibri"/>
          <w:sz w:val="22"/>
          <w:szCs w:val="22"/>
        </w:rPr>
        <w:t> a use </w:t>
      </w:r>
      <w:r w:rsidRPr="008C13E7">
        <w:rPr>
          <w:rStyle w:val="spellingerror"/>
          <w:rFonts w:ascii="Calibri" w:hAnsi="Calibri" w:cs="Calibri"/>
          <w:sz w:val="22"/>
          <w:szCs w:val="22"/>
        </w:rPr>
        <w:t>from</w:t>
      </w:r>
      <w:r w:rsidRPr="008C13E7">
        <w:rPr>
          <w:rStyle w:val="normaltextrun"/>
          <w:rFonts w:ascii="Calibri" w:hAnsi="Calibri" w:cs="Calibri"/>
          <w:sz w:val="22"/>
          <w:szCs w:val="22"/>
        </w:rPr>
        <w:t> the sites </w:t>
      </w:r>
      <w:hyperlink r:id="rId12" w:tgtFrame="_blank" w:history="1">
        <w:r w:rsidRPr="008C13E7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www.ign.fr</w:t>
        </w:r>
      </w:hyperlink>
      <w:r w:rsidRPr="008C13E7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8C13E7">
        <w:rPr>
          <w:rStyle w:val="normaltextrun"/>
          <w:rFonts w:ascii="Calibri" w:hAnsi="Calibri" w:cs="Calibri"/>
          <w:sz w:val="22"/>
          <w:szCs w:val="22"/>
        </w:rPr>
        <w:t>or</w:t>
      </w:r>
      <w:proofErr w:type="spellEnd"/>
      <w:r w:rsidRPr="008C13E7">
        <w:rPr>
          <w:rStyle w:val="normaltextrun"/>
          <w:rFonts w:ascii="Calibri" w:hAnsi="Calibri" w:cs="Calibri"/>
          <w:sz w:val="22"/>
          <w:szCs w:val="22"/>
        </w:rPr>
        <w:t xml:space="preserve"> professionals.ign.fr</w:t>
      </w:r>
      <w:r w:rsidRPr="008C13E7"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IP :</w:t>
      </w:r>
      <w:r>
        <w:rPr>
          <w:rStyle w:val="normaltextrun"/>
          <w:rFonts w:ascii="Calibri" w:hAnsi="Calibri" w:cs="Calibri"/>
          <w:sz w:val="22"/>
          <w:szCs w:val="22"/>
        </w:rPr>
        <w:t xml:space="preserve"> For use by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computer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Enter the IP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address</w:t>
      </w:r>
      <w:r>
        <w:rPr>
          <w:rStyle w:val="normaltextrun"/>
          <w:rFonts w:ascii="Calibri" w:hAnsi="Calibri" w:cs="Calibri"/>
          <w:sz w:val="22"/>
          <w:szCs w:val="22"/>
        </w:rPr>
        <w:t> of the computer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use 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: 192.168.1.13. You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replace an IP </w:t>
      </w:r>
      <w:r>
        <w:rPr>
          <w:rStyle w:val="spellingerror"/>
          <w:rFonts w:ascii="Calibri" w:hAnsi="Calibri" w:cs="Calibri"/>
          <w:sz w:val="22"/>
          <w:szCs w:val="22"/>
        </w:rPr>
        <w:t>with</w:t>
      </w:r>
      <w:r>
        <w:rPr>
          <w:rStyle w:val="normaltextrun"/>
          <w:rFonts w:ascii="Calibri" w:hAnsi="Calibri" w:cs="Calibri"/>
          <w:sz w:val="22"/>
          <w:szCs w:val="22"/>
        </w:rPr>
        <w:t> an IP range,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192.168.0.0/16. You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enter multiple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 IP ranges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separated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virgues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without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spaces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example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192.168.1.13,192.168.0.0 / 16.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8C13E7" w:rsidRDefault="008C13E7" w:rsidP="008C13E7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Referer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or IP : </w:t>
      </w:r>
      <w:r>
        <w:rPr>
          <w:rStyle w:val="normaltextrun"/>
          <w:rFonts w:ascii="Calibri" w:hAnsi="Calibri" w:cs="Calibri"/>
          <w:sz w:val="22"/>
          <w:szCs w:val="22"/>
        </w:rPr>
        <w:t>Protection by REFERER OR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IP.Requests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issued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 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referer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 by the IP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accepted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ID / Login : </w:t>
      </w:r>
      <w:r>
        <w:rPr>
          <w:rStyle w:val="normaltextrun"/>
          <w:rFonts w:ascii="Calibri" w:hAnsi="Calibri" w:cs="Calibri"/>
          <w:sz w:val="22"/>
          <w:szCs w:val="22"/>
        </w:rPr>
        <w:t>For use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protected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 an identifier and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password.It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necessary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to use the HTTPS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protocol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ArcGIS / QGIS :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Secured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 the user-agent. * GIS. *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Valid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with</w:t>
      </w:r>
      <w:r>
        <w:rPr>
          <w:rStyle w:val="normaltextrun"/>
          <w:rFonts w:ascii="Calibri" w:hAnsi="Calibri" w:cs="Calibri"/>
          <w:sz w:val="22"/>
          <w:szCs w:val="22"/>
        </w:rPr>
        <w:t> GIS "ArcGIS" and "QGIS".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User-agent :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  </w:t>
      </w:r>
      <w:r>
        <w:rPr>
          <w:rStyle w:val="normaltextrun"/>
          <w:rFonts w:ascii="Calibri" w:hAnsi="Calibri" w:cs="Calibri"/>
          <w:sz w:val="22"/>
          <w:szCs w:val="22"/>
        </w:rPr>
        <w:t>For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use by an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application.Enter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 User-Agent (HTTP header User-Agent) of the application. 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wildcard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character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*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replace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sequence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characters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IGN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GeoServices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 large catalogue of OGC Services. The Services are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divided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on 3 groups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Services for Visualisation : WMS &amp; WMTS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Services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Requesting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: WFS services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Services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Geocoding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: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REST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Services /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OpenLS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 WPS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Tests,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focus on the first part, visualisation services.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here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complete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services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provided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by IGN : </w:t>
      </w: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http://professionnels.ign.fr/doc/Ressources_IGN_en_ligne_Juillet_2019.xlsx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C13E7" w:rsidRDefault="008C13E7" w:rsidP="008C13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1777C" w:rsidRDefault="00F1777C"/>
    <w:sectPr w:rsidR="00F1777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D6" w:rsidRDefault="00C46BD6" w:rsidP="008C13E7">
      <w:pPr>
        <w:spacing w:after="0" w:line="240" w:lineRule="auto"/>
      </w:pPr>
      <w:r>
        <w:separator/>
      </w:r>
    </w:p>
  </w:endnote>
  <w:endnote w:type="continuationSeparator" w:id="0">
    <w:p w:rsidR="00C46BD6" w:rsidRDefault="00C46BD6" w:rsidP="008C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D6" w:rsidRDefault="00C46BD6" w:rsidP="008C13E7">
      <w:pPr>
        <w:spacing w:after="0" w:line="240" w:lineRule="auto"/>
      </w:pPr>
      <w:r>
        <w:separator/>
      </w:r>
    </w:p>
  </w:footnote>
  <w:footnote w:type="continuationSeparator" w:id="0">
    <w:p w:rsidR="00C46BD6" w:rsidRDefault="00C46BD6" w:rsidP="008C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3E7" w:rsidRPr="008C13E7" w:rsidRDefault="008C13E7" w:rsidP="008C13E7">
    <w:pPr>
      <w:pStyle w:val="En-tte"/>
      <w:jc w:val="center"/>
    </w:pPr>
    <w:r>
      <w:rPr>
        <w:rStyle w:val="normaltextrun"/>
        <w:rFonts w:ascii="Calibri Light" w:hAnsi="Calibri Light" w:cs="Calibri Light"/>
        <w:sz w:val="40"/>
        <w:szCs w:val="40"/>
        <w:shd w:val="clear" w:color="auto" w:fill="FFFFFF"/>
      </w:rPr>
      <w:t>1-Access IGN OGC 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C131C"/>
    <w:multiLevelType w:val="multilevel"/>
    <w:tmpl w:val="99F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C64D7"/>
    <w:multiLevelType w:val="multilevel"/>
    <w:tmpl w:val="C1F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D85D25"/>
    <w:multiLevelType w:val="multilevel"/>
    <w:tmpl w:val="4FE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D36317"/>
    <w:multiLevelType w:val="multilevel"/>
    <w:tmpl w:val="4E1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EC6929"/>
    <w:multiLevelType w:val="multilevel"/>
    <w:tmpl w:val="2C2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C11677"/>
    <w:multiLevelType w:val="multilevel"/>
    <w:tmpl w:val="F42A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03F9B"/>
    <w:multiLevelType w:val="multilevel"/>
    <w:tmpl w:val="AF00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4F7CB2"/>
    <w:multiLevelType w:val="multilevel"/>
    <w:tmpl w:val="391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E7"/>
    <w:rsid w:val="008C13E7"/>
    <w:rsid w:val="00C46BD6"/>
    <w:rsid w:val="00F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E9EA71-57AD-403C-BE6B-A5A939AD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C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Policepardfaut"/>
    <w:rsid w:val="008C13E7"/>
  </w:style>
  <w:style w:type="character" w:customStyle="1" w:styleId="normaltextrun">
    <w:name w:val="normaltextrun"/>
    <w:basedOn w:val="Policepardfaut"/>
    <w:rsid w:val="008C13E7"/>
  </w:style>
  <w:style w:type="character" w:customStyle="1" w:styleId="eop">
    <w:name w:val="eop"/>
    <w:basedOn w:val="Policepardfaut"/>
    <w:rsid w:val="008C13E7"/>
  </w:style>
  <w:style w:type="paragraph" w:styleId="En-tte">
    <w:name w:val="header"/>
    <w:basedOn w:val="Normal"/>
    <w:link w:val="En-tteCar"/>
    <w:uiPriority w:val="99"/>
    <w:unhideWhenUsed/>
    <w:rsid w:val="008C1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13E7"/>
  </w:style>
  <w:style w:type="paragraph" w:styleId="Pieddepage">
    <w:name w:val="footer"/>
    <w:basedOn w:val="Normal"/>
    <w:link w:val="PieddepageCar"/>
    <w:uiPriority w:val="99"/>
    <w:unhideWhenUsed/>
    <w:rsid w:val="008C1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essionnels.ign.fr/" TargetMode="External"/><Relationship Id="rId13" Type="http://schemas.openxmlformats.org/officeDocument/2006/relationships/hyperlink" Target="http://professionnels.ign.fr/doc/Ressources_IGN_en_ligne_Juillet_2019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gn.f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gn.f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gn.f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NKHILI</dc:creator>
  <cp:keywords/>
  <dc:description/>
  <cp:lastModifiedBy>Asma NKHILI</cp:lastModifiedBy>
  <cp:revision>1</cp:revision>
  <dcterms:created xsi:type="dcterms:W3CDTF">2019-08-12T15:51:00Z</dcterms:created>
  <dcterms:modified xsi:type="dcterms:W3CDTF">2019-08-12T15:57:00Z</dcterms:modified>
</cp:coreProperties>
</file>