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Times New Roman" w:hAnsi="Times New Roman"/>
          <w:b/>
          <w:color w:val="000000"/>
          <w:sz w:val="28"/>
        </w:rPr>
        <w:t>INTERNSHIP DELIVERABLE — WEEK 4</w:t>
      </w:r>
    </w:p>
    <w:p>
      <w:pPr>
        <w:keepNext/>
        <w:spacing w:before="40" w:after="80"/>
      </w:pPr>
      <w:r>
        <w:rPr>
          <w:rFonts w:ascii="Times New Roman" w:hAnsi="Times New Roman"/>
          <w:b/>
          <w:color w:val="000000"/>
          <w:sz w:val="40"/>
        </w:rPr>
        <w:t>Predictive Modeling Framework for Agriculture &amp; Agribusiness Applications</w:t>
      </w:r>
    </w:p>
    <w:p>
      <w:pPr>
        <w:keepNext/>
        <w:spacing w:after="120"/>
      </w:pPr>
      <w:r>
        <w:rPr>
          <w:rFonts w:ascii="Times New Roman" w:hAnsi="Times New Roman"/>
          <w:i/>
          <w:color w:val="000000"/>
          <w:sz w:val="26"/>
        </w:rPr>
        <w:t>Nonlinear Climate Risk, Agronomic Feature Engineering, and Spatial-Temporal Evaluation</w:t>
      </w:r>
    </w:p>
    <w:tbl>
      <w:tblPr>
        <w:tblW w:type="auto" w:w="0"/>
        <w:jc w:val="center"/>
        <w:tblLook w:firstColumn="1" w:firstRow="1" w:lastColumn="0" w:lastRow="0" w:noHBand="0" w:noVBand="1" w:val="04A0"/>
      </w:tblPr>
      <w:tblGrid>
        <w:gridCol w:w="4896"/>
        <w:gridCol w:w="4896"/>
      </w:tblGrid>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Intern / Author: </w:t>
            </w:r>
            <w:r>
              <w:rPr>
                <w:rFonts w:ascii="Times New Roman" w:hAnsi="Times New Roman"/>
                <w:b/>
                <w:color w:val="000000"/>
                <w:sz w:val="26"/>
              </w:rPr>
              <w:t>Ankit Kumar</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Target Role: </w:t>
            </w:r>
            <w:r>
              <w:rPr>
                <w:rFonts w:ascii="Times New Roman" w:hAnsi="Times New Roman"/>
                <w:color w:val="000000"/>
                <w:sz w:val="26"/>
              </w:rPr>
              <w:t>Junior Machine Learning Data Analyst</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Track: </w:t>
            </w:r>
            <w:r>
              <w:rPr>
                <w:rFonts w:ascii="Times New Roman" w:hAnsi="Times New Roman"/>
                <w:color w:val="000000"/>
                <w:sz w:val="26"/>
              </w:rPr>
              <w:t>Agriculture &amp; Agribusiness Analytics</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Deliverable ID: </w:t>
            </w:r>
            <w:r>
              <w:rPr>
                <w:rFonts w:ascii="Times New Roman" w:hAnsi="Times New Roman"/>
                <w:color w:val="000000"/>
                <w:sz w:val="26"/>
              </w:rPr>
              <w:t>Week 4 Modeling Framework (W4)</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Core Focus: </w:t>
            </w:r>
            <w:r>
              <w:rPr>
                <w:rFonts w:ascii="Times New Roman" w:hAnsi="Times New Roman"/>
                <w:color w:val="000000"/>
                <w:sz w:val="26"/>
              </w:rPr>
              <w:t>Yield Forecasting, Extreme Degree Days, Spatial CV</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Estimated Project Scope: </w:t>
            </w:r>
            <w:r>
              <w:rPr>
                <w:rFonts w:ascii="Times New Roman" w:hAnsi="Times New Roman"/>
                <w:color w:val="000000"/>
                <w:sz w:val="26"/>
              </w:rPr>
              <w:t>30 to 35 Hours Technical Execution</w:t>
            </w:r>
          </w:p>
        </w:tc>
      </w:tr>
    </w:tbl>
    <w:p>
      <w:pPr>
        <w:keepNext/>
        <w:widowControl/>
        <w:spacing w:before="320" w:after="100"/>
      </w:pPr>
      <w:r>
        <w:rPr>
          <w:rFonts w:ascii="Times New Roman" w:hAnsi="Times New Roman"/>
          <w:b/>
          <w:color w:val="000000"/>
          <w:sz w:val="36"/>
        </w:rPr>
        <w:t>1. Problem Statement &amp; Agronomic Background</w:t>
      </w:r>
    </w:p>
    <w:p>
      <w:r>
        <w:rPr>
          <w:rFonts w:ascii="Times New Roman" w:hAnsi="Times New Roman"/>
          <w:color w:val="000000"/>
          <w:sz w:val="24"/>
        </w:rPr>
        <w:t>Accurate pre-harvest crop yield prediction remains one of the most critical challenges in modern agribusiness, food security planning, and agricultural supply chain risk management. Historically, public agencies and grain aggregators relied on subjective post-harvest survey sampling, visual field appraisals, and simple regional historical averages. These legacy techniques suffer from significant reporting delays (often 60 to 90 days after harvest completion) and fail to capture localized, abrupt microclimate shocks such as flash droughts or heatwaves during sensitive flowering stages.</w:t>
      </w:r>
    </w:p>
    <w:p>
      <w:r>
        <w:rPr>
          <w:rFonts w:ascii="Times New Roman" w:hAnsi="Times New Roman"/>
          <w:color w:val="000000"/>
          <w:sz w:val="24"/>
        </w:rPr>
        <w:t>The objective of this predictive modeling framework is to engineer and validate a district-level crop yield forecasting system capable of issuing reliable yield estimates 30 to 45 days prior to harvest. By integrating high-resolution satellite remote sensing, gridded atmospheric reanalysis, and historical soil profiles, this model directly captures the biological interaction between genetic technological progress, soil water holding capacity, and extreme thermal stress. The target crop for this operational architecture is winter wheat and grain maize across intensive agricultural belts, with model outputs scaled to metric tonnes per hectare (t/ha).</w:t>
      </w:r>
    </w:p>
    <w:tbl>
      <w:tblPr>
        <w:tblW w:type="auto" w:w="0"/>
        <w:jc w:val="center"/>
        <w:tblLook w:firstColumn="1" w:firstRow="1" w:lastColumn="0" w:lastRow="0" w:noHBand="0" w:noVBand="1" w:val="04A0"/>
      </w:tblPr>
      <w:tblGrid>
        <w:gridCol w:w="9792"/>
      </w:tblGrid>
      <w:tr>
        <w:tc>
          <w:tcPr>
            <w:tcW w:type="dxa" w:w="9792"/>
            <w:shd w:fill="FFFFFF"/>
            <w:tcMar>
              <w:top w:w="140" w:type="dxa"/>
              <w:bottom w:w="140" w:type="dxa"/>
              <w:left w:w="180" w:type="dxa"/>
              <w:right w:w="180" w:type="dxa"/>
            </w:tcMar>
            <w:tcBorders>
              <w:top w:val="single" w:sz="6" w:space="0" w:color="000000"/>
              <w:left w:val="single" w:sz="36"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5"/>
              </w:rPr>
              <w:t>CORE PREDICTIVE MODELLING PRINCIPLE</w:t>
              <w:br/>
            </w:r>
            <w:r>
              <w:rPr>
                <w:rFonts w:ascii="Times New Roman" w:hAnsi="Times New Roman"/>
                <w:color w:val="000000"/>
                <w:sz w:val="24"/>
              </w:rPr>
              <w:t>Agronomic forecasting models must separate long-term genetic technology trends (which increase yields by 1.0% to 1.5% annually through improved seed genetics and fertilizer efficiency) from acute weather shocks. Failing to de-trend historical production data leads machine learning estimators to mistake recent warm years for technology gains, severely under-predicting the destructive impact of heat extremes.</w:t>
            </w:r>
          </w:p>
        </w:tc>
      </w:tr>
    </w:tbl>
    <w:p>
      <w:pPr>
        <w:keepNext/>
        <w:widowControl/>
        <w:spacing w:before="240" w:after="80"/>
      </w:pPr>
      <w:r>
        <w:rPr>
          <w:rFonts w:ascii="Times New Roman" w:hAnsi="Times New Roman"/>
          <w:b/>
          <w:color w:val="000000"/>
          <w:sz w:val="32"/>
        </w:rPr>
        <w:t>1.1 Specific Business &amp; Agribusiness Objectives</w:t>
      </w:r>
    </w:p>
    <w:p>
      <w:pPr>
        <w:pStyle w:val="ListBullet"/>
        <w:spacing w:after="60"/>
      </w:pPr>
      <w:r>
        <w:rPr>
          <w:rFonts w:ascii="Times New Roman" w:hAnsi="Times New Roman"/>
          <w:b/>
          <w:color w:val="000000"/>
          <w:sz w:val="24"/>
        </w:rPr>
        <w:t xml:space="preserve">Early Season Yield Forecasting: </w:t>
      </w:r>
      <w:r>
        <w:rPr>
          <w:rFonts w:ascii="Times New Roman" w:hAnsi="Times New Roman"/>
          <w:color w:val="000000"/>
          <w:sz w:val="24"/>
        </w:rPr>
        <w:t>Produce calibrated pre-harvest yield forecasts (t/ha) at the administrative district level (equivalent to US County or Indian District) 30 to 45 days before physiological maturity.</w:t>
      </w:r>
    </w:p>
    <w:p>
      <w:pPr>
        <w:pStyle w:val="ListBullet"/>
        <w:spacing w:after="60"/>
      </w:pPr>
      <w:r>
        <w:rPr>
          <w:rFonts w:ascii="Times New Roman" w:hAnsi="Times New Roman"/>
          <w:b/>
          <w:color w:val="000000"/>
          <w:sz w:val="24"/>
        </w:rPr>
        <w:t xml:space="preserve">Nonlinear Heat Stress Quantification: </w:t>
      </w:r>
      <w:r>
        <w:rPr>
          <w:rFonts w:ascii="Times New Roman" w:hAnsi="Times New Roman"/>
          <w:color w:val="000000"/>
          <w:sz w:val="24"/>
        </w:rPr>
        <w:t>Incorporate physiological thermal thresholds into model inputs rather than simple seasonal temperature averages, capturing the non-linear yield decline caused by temperatures exceeding 30 degrees Celsius during grain-filling.</w:t>
      </w:r>
    </w:p>
    <w:p>
      <w:pPr>
        <w:pStyle w:val="ListBullet"/>
        <w:spacing w:after="60"/>
      </w:pPr>
      <w:r>
        <w:rPr>
          <w:rFonts w:ascii="Times New Roman" w:hAnsi="Times New Roman"/>
          <w:b/>
          <w:color w:val="000000"/>
          <w:sz w:val="24"/>
        </w:rPr>
        <w:t xml:space="preserve">Insurance &amp; Hedging Optimization: </w:t>
      </w:r>
      <w:r>
        <w:rPr>
          <w:rFonts w:ascii="Times New Roman" w:hAnsi="Times New Roman"/>
          <w:color w:val="000000"/>
          <w:sz w:val="24"/>
        </w:rPr>
        <w:t>Provide risk distributions and calibrated prediction intervals to allow agricultural insurance underwriters to price area-yield index insurance contracts accurately.</w:t>
      </w:r>
    </w:p>
    <w:p>
      <w:pPr>
        <w:pStyle w:val="ListBullet"/>
        <w:spacing w:after="60"/>
      </w:pPr>
      <w:r>
        <w:rPr>
          <w:rFonts w:ascii="Times New Roman" w:hAnsi="Times New Roman"/>
          <w:b/>
          <w:color w:val="000000"/>
          <w:sz w:val="24"/>
        </w:rPr>
        <w:t xml:space="preserve">Procurement &amp; Logistics Scheduling: </w:t>
      </w:r>
      <w:r>
        <w:rPr>
          <w:rFonts w:ascii="Times New Roman" w:hAnsi="Times New Roman"/>
          <w:color w:val="000000"/>
          <w:sz w:val="24"/>
        </w:rPr>
        <w:t>Enable grain milling and food processing enterprises to hedge forward procurement contracts and optimize grain elevator storage capacity prior to physical arrival surges.</w:t>
      </w:r>
    </w:p>
    <w:p>
      <w:pPr>
        <w:keepNext/>
        <w:widowControl/>
        <w:spacing w:before="320" w:after="100"/>
      </w:pPr>
      <w:r>
        <w:rPr>
          <w:rFonts w:ascii="Times New Roman" w:hAnsi="Times New Roman"/>
          <w:b/>
          <w:color w:val="000000"/>
          <w:sz w:val="36"/>
        </w:rPr>
        <w:t>2. Multi-Source Feature Engineering &amp; Agronomic Transformations</w:t>
      </w:r>
    </w:p>
    <w:p>
      <w:r>
        <w:rPr>
          <w:rFonts w:ascii="Times New Roman" w:hAnsi="Times New Roman"/>
          <w:color w:val="000000"/>
          <w:sz w:val="24"/>
        </w:rPr>
        <w:t>Generic tabular machine learning features (such as raw monthly mean temperature or cumulative seasonal rainfall) perform poorly in crop forecasting because plants respond nonlinearly to atmospheric thresholds and phenological timing. A 3-degree Celsius temperature spike during vegetative emergence is beneficial, whereas the same spike during anthesis (flowering) causes pollen sterility and severe yield loss. We construct a domain-specific feature engineering pipeline that transforms raw weather, satellite imagery, and soil data into biologically meaningful indices.</w:t>
      </w:r>
    </w:p>
    <w:p>
      <w:pPr>
        <w:keepNext/>
        <w:widowControl/>
        <w:spacing w:before="240" w:after="80"/>
      </w:pPr>
      <w:r>
        <w:rPr>
          <w:rFonts w:ascii="Times New Roman" w:hAnsi="Times New Roman"/>
          <w:b/>
          <w:color w:val="000000"/>
          <w:sz w:val="32"/>
        </w:rPr>
        <w:t>2.1 Mathematical Formulations of Engineered Features</w:t>
      </w:r>
    </w:p>
    <w:p>
      <w:r>
        <w:rPr>
          <w:rFonts w:ascii="Times New Roman" w:hAnsi="Times New Roman"/>
          <w:color w:val="000000"/>
          <w:sz w:val="24"/>
        </w:rPr>
        <w:t>Below are the core mathematical transformations implemented in the data preparation pipeline:</w:t>
      </w:r>
    </w:p>
    <w:p>
      <w:pPr>
        <w:pStyle w:val="ListBullet"/>
        <w:spacing w:after="80"/>
      </w:pPr>
      <w:r>
        <w:rPr>
          <w:rFonts w:ascii="Times New Roman" w:hAnsi="Times New Roman"/>
          <w:b/>
          <w:color w:val="000000"/>
          <w:sz w:val="24"/>
        </w:rPr>
        <w:t xml:space="preserve">Growing Degree Days (GDD): </w:t>
      </w:r>
      <w:r>
        <w:rPr>
          <w:rFonts w:ascii="Times New Roman" w:hAnsi="Times New Roman"/>
          <w:color w:val="000000"/>
          <w:sz w:val="24"/>
        </w:rPr>
        <w:t>GDD = max(((T_max + T_min) / 2) - T_base, 0), where T_base = 10 C for maize and 0 C for winter wheat. Captures thermal accumulation driving vegetative stage transitions.</w:t>
      </w:r>
    </w:p>
    <w:p>
      <w:pPr>
        <w:pStyle w:val="ListBullet"/>
        <w:spacing w:after="80"/>
      </w:pPr>
      <w:r>
        <w:rPr>
          <w:rFonts w:ascii="Times New Roman" w:hAnsi="Times New Roman"/>
          <w:b/>
          <w:color w:val="000000"/>
          <w:sz w:val="24"/>
        </w:rPr>
        <w:t xml:space="preserve">Extreme Degree Days (EDD): </w:t>
      </w:r>
      <w:r>
        <w:rPr>
          <w:rFonts w:ascii="Times New Roman" w:hAnsi="Times New Roman"/>
          <w:color w:val="000000"/>
          <w:sz w:val="24"/>
        </w:rPr>
        <w:t>EDD = max(T_hourly - T_threshold, 0), where T_threshold = 30 C. Derived from hourly ERA5-Land reanalysis. Captures acute heat shock and reproductive tissue dehydration (Schlenker &amp; Roberts, 2009).</w:t>
      </w:r>
    </w:p>
    <w:p>
      <w:pPr>
        <w:pStyle w:val="ListBullet"/>
        <w:spacing w:after="80"/>
      </w:pPr>
      <w:r>
        <w:rPr>
          <w:rFonts w:ascii="Times New Roman" w:hAnsi="Times New Roman"/>
          <w:b/>
          <w:color w:val="000000"/>
          <w:sz w:val="24"/>
        </w:rPr>
        <w:t xml:space="preserve">Vapor Pressure Deficit (VPD): </w:t>
      </w:r>
      <w:r>
        <w:rPr>
          <w:rFonts w:ascii="Times New Roman" w:hAnsi="Times New Roman"/>
          <w:color w:val="000000"/>
          <w:sz w:val="24"/>
        </w:rPr>
        <w:t>VPD = e_s(T) * (1 - (RH / 100)), where e_s(T) is saturation vapor pressure in kPa. High VPD forces stomatal closure, shutting down photosynthetic carbon fixation despite adequate soil moisture.</w:t>
      </w:r>
    </w:p>
    <w:p>
      <w:pPr>
        <w:pStyle w:val="ListBullet"/>
        <w:spacing w:after="80"/>
      </w:pPr>
      <w:r>
        <w:rPr>
          <w:rFonts w:ascii="Times New Roman" w:hAnsi="Times New Roman"/>
          <w:b/>
          <w:color w:val="000000"/>
          <w:sz w:val="24"/>
        </w:rPr>
        <w:t xml:space="preserve">Standardized Precipitation-Evapotranspiration Index (SPEI-3): </w:t>
      </w:r>
      <w:r>
        <w:rPr>
          <w:rFonts w:ascii="Times New Roman" w:hAnsi="Times New Roman"/>
          <w:color w:val="000000"/>
          <w:sz w:val="24"/>
        </w:rPr>
        <w:t>A multi-scalar drought index calculated over 90-day rolling windows using the difference between precipitation (P) and potential evapotranspiration (PET) fitted to a log-logistic distribution.</w:t>
      </w:r>
    </w:p>
    <w:p>
      <w:pPr>
        <w:pStyle w:val="ListBullet"/>
        <w:spacing w:after="80"/>
      </w:pPr>
      <w:r>
        <w:rPr>
          <w:rFonts w:ascii="Times New Roman" w:hAnsi="Times New Roman"/>
          <w:b/>
          <w:color w:val="000000"/>
          <w:sz w:val="24"/>
        </w:rPr>
        <w:t xml:space="preserve">Remote Sensing Phenology Dynamics (NDVI Peak &amp; Integral): </w:t>
      </w:r>
      <w:r>
        <w:rPr>
          <w:rFonts w:ascii="Times New Roman" w:hAnsi="Times New Roman"/>
          <w:color w:val="000000"/>
          <w:sz w:val="24"/>
        </w:rPr>
        <w:t>Calculated from 16-day MODIS MOD13Q1 composites. Features include NDVI_max (peak canopy greenness), NDVI_integral (total seasonal biomass proxy), and delta_NDVI_grainfill (rate of canopy senescence).</w:t>
      </w:r>
    </w:p>
    <w:p>
      <w:pPr>
        <w:keepNext/>
        <w:widowControl/>
        <w:spacing w:before="240" w:after="80"/>
      </w:pPr>
      <w:r>
        <w:rPr>
          <w:rFonts w:ascii="Times New Roman" w:hAnsi="Times New Roman"/>
          <w:b/>
          <w:color w:val="000000"/>
          <w:sz w:val="32"/>
        </w:rPr>
        <w:t>2.2 Feature Matrix Catalog</w:t>
      </w:r>
    </w:p>
    <w:p>
      <w:r>
        <w:rPr>
          <w:rFonts w:ascii="Times New Roman" w:hAnsi="Times New Roman"/>
          <w:color w:val="000000"/>
          <w:sz w:val="24"/>
        </w:rPr>
        <w:t>The finalized modeling dataset integrates 28 engineered features categorized across four distinct environmental and biological domains:</w:t>
      </w:r>
    </w:p>
    <w:tbl>
      <w:tblPr>
        <w:tblW w:type="auto" w:w="0"/>
        <w:jc w:val="center"/>
        <w:tblLook w:firstColumn="1" w:firstRow="1" w:lastColumn="0" w:lastRow="0" w:noHBand="0" w:noVBand="1" w:val="04A0"/>
      </w:tblPr>
      <w:tblGrid>
        <w:gridCol w:w="1958"/>
        <w:gridCol w:w="1958"/>
        <w:gridCol w:w="1958"/>
        <w:gridCol w:w="1958"/>
        <w:gridCol w:w="1958"/>
      </w:tblGrid>
      <w:tr>
        <w:trPr>
          <w:tblHeader/>
          <w:cantSplit/>
        </w:trPr>
        <w:tc>
          <w:tcPr>
            <w:tcW w:type="dxa" w:w="1584"/>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Domain</w:t>
            </w:r>
          </w:p>
        </w:tc>
        <w:tc>
          <w:tcPr>
            <w:tcW w:type="dxa" w:w="1872"/>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Feature Code</w:t>
            </w:r>
          </w:p>
        </w:tc>
        <w:tc>
          <w:tcPr>
            <w:tcW w:type="dxa" w:w="1872"/>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Temporal Resolution</w:t>
            </w:r>
          </w:p>
        </w:tc>
        <w:tc>
          <w:tcPr>
            <w:tcW w:type="dxa" w:w="2016"/>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Data Source</w:t>
            </w:r>
          </w:p>
        </w:tc>
        <w:tc>
          <w:tcPr>
            <w:tcW w:type="dxa" w:w="2448"/>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Agronomic Mechanism</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Thermal Stress</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GDD_vegetative</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Accumulated (Emergence-Jointing)</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ECMWF ERA5-Land</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Drives leaf appearance rate and canopy expansion</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Thermal Stress</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EDD_flowering</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Hourly sum (Anthesis window)</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ECMWF ERA5-Land</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Reproductive organ abortion and pollen desiccation</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Atmospheric Moisture</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VPD_mean_midseason</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Daily mean (60-day window)</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ERA5-Land (T &amp; T_dew)</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Stomatal conductance and transpiration constraint</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Root-Zone Moisture</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SPEI_90d_anthesis</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Rolling 90-day standardized</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ERA5 Precipitation / Penman-Monteith</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Cumulative seasonal moisture deficit and drought stress</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Soil Foundation</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AWC_0_100cm</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Static (0-100cm profile)</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ISRIC SoilGrids 250m</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Available Water Capacity buffering short dry spells</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Soil Foundation</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Soil_Organic_Carbon</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Static topsoil (0-30cm)</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ISRIC SoilGrids 250m</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Nutrient exchange capacity and microbial vitality</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Canopy Remote Sensing</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NDVI_peak_value</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Single maximum per season</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NASA MODIS MOD13Q1</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Peak photosynthetic capacity and biomass proxy</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Canopy Remote Sensing</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Senescence_Slope</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16-day derivative post-peak</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NASA MODIS MOD13Q1</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Rate of natural maturity vs. premature terminal stress</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Technology Baseline</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Tech_Trend_Year</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Annual continuous integer</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USDA NASS / State Records</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Captures genetic gains, machinery, and fertilizer adoption</w:t>
            </w:r>
          </w:p>
        </w:tc>
      </w:tr>
    </w:tbl>
    <w:p>
      <w:pPr>
        <w:keepNext/>
        <w:widowControl/>
        <w:spacing w:before="320" w:after="100"/>
      </w:pPr>
      <w:r>
        <w:rPr>
          <w:rFonts w:ascii="Times New Roman" w:hAnsi="Times New Roman"/>
          <w:b/>
          <w:color w:val="000000"/>
          <w:sz w:val="36"/>
        </w:rPr>
        <w:t>3. Model Selection Architecture &amp; Theoretical Rationale</w:t>
      </w:r>
    </w:p>
    <w:p>
      <w:r>
        <w:rPr>
          <w:rFonts w:ascii="Times New Roman" w:hAnsi="Times New Roman"/>
          <w:color w:val="000000"/>
          <w:sz w:val="24"/>
        </w:rPr>
        <w:t>Agricultural crop yield prediction presents three distinct statistical challenges that govern model selection: (1) Severe multi-collinearity between atmospheric variables (temperature, solar radiation, and VPD are highly correlated); (2) Highly non-linear biological response curves with sharp negative inflection points beyond physiological thresholds; and (3) Strong spatial autocorrelation across contiguous farming districts. To balance interpretability, predictive power, and risk management, we evaluate a multi-tiered modeling architecture comprising linear baselines, ensemble tree methods, and regularized boosting algorithms.</w:t>
      </w:r>
    </w:p>
    <w:p>
      <w:pPr>
        <w:keepNext/>
        <w:widowControl/>
        <w:spacing w:before="240" w:after="80"/>
      </w:pPr>
      <w:r>
        <w:rPr>
          <w:rFonts w:ascii="Times New Roman" w:hAnsi="Times New Roman"/>
          <w:b/>
          <w:color w:val="000000"/>
          <w:sz w:val="32"/>
        </w:rPr>
        <w:t>3.1 Candidate Model Suite &amp; Trade-Off Analysis</w:t>
      </w:r>
    </w:p>
    <w:p>
      <w:r>
        <w:rPr>
          <w:rFonts w:ascii="Times New Roman" w:hAnsi="Times New Roman"/>
          <w:color w:val="000000"/>
          <w:sz w:val="24"/>
        </w:rPr>
        <w:t>Four model classes were shortlisted and evaluated under standardized cross-validation conditions:</w:t>
      </w:r>
    </w:p>
    <w:tbl>
      <w:tblPr>
        <w:tblW w:type="auto" w:w="0"/>
        <w:jc w:val="center"/>
        <w:tblLook w:firstColumn="1" w:firstRow="1" w:lastColumn="0" w:lastRow="0" w:noHBand="0" w:noVBand="1" w:val="04A0"/>
      </w:tblPr>
      <w:tblGrid>
        <w:gridCol w:w="1958"/>
        <w:gridCol w:w="1958"/>
        <w:gridCol w:w="1958"/>
        <w:gridCol w:w="1958"/>
        <w:gridCol w:w="1958"/>
      </w:tblGrid>
      <w:tr>
        <w:trPr>
          <w:tblHeader/>
          <w:cantSplit/>
        </w:trPr>
        <w:tc>
          <w:tcPr>
            <w:tcW w:type="dxa" w:w="1728"/>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Model Family</w:t>
            </w:r>
          </w:p>
        </w:tc>
        <w:tc>
          <w:tcPr>
            <w:tcW w:type="dxa" w:w="2016"/>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Algorithm Specification</w:t>
            </w:r>
          </w:p>
        </w:tc>
        <w:tc>
          <w:tcPr>
            <w:tcW w:type="dxa" w:w="2160"/>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Strengths in Agribusiness</w:t>
            </w:r>
          </w:p>
        </w:tc>
        <w:tc>
          <w:tcPr>
            <w:tcW w:type="dxa" w:w="2160"/>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Limitations / Risks</w:t>
            </w:r>
          </w:p>
        </w:tc>
        <w:tc>
          <w:tcPr>
            <w:tcW w:type="dxa" w:w="1728"/>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Selection Status</w:t>
            </w:r>
          </w:p>
        </w:tc>
      </w:tr>
      <w:tr>
        <w:trPr>
          <w:cantSplit/>
        </w:trPr>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Regularized Linear Baseline</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Ridge / ElasticNet with Polynomial Terms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Highly transparent; isolates linear technology trend; low risk of severe over-fitting.</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Fails to capture abrupt multi-way climate interactions without manual high-order expansion.</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Baseline Benchmark</w:t>
            </w:r>
          </w:p>
        </w:tc>
      </w:tr>
      <w:tr>
        <w:trPr>
          <w:cantSplit/>
        </w:trPr>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Ensemble Decision Trees</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Random Forest Regressor (1000 Estimators)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Captures non-linear thresholds naturally; invariant to monotonic feature scaling; resistant to outliers.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Cannot extrapolate beyond the range of historical training yields; biased under unprecedented heat.</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Secondary Ensemble Member</w:t>
            </w:r>
          </w:p>
        </w:tc>
      </w:tr>
      <w:tr>
        <w:trPr>
          <w:cantSplit/>
        </w:trPr>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Gradient Boosted Trees</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LightGBM with Monotonic Constraints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Exceptional handling of correlated tabular data; supports custom asymmetric loss; native monotonic constraints.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Requires careful hyperparameter regularization (max_depth, min_child_weight) to avoid spatial memorization.</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Primary Champion Model</w:t>
            </w:r>
          </w:p>
        </w:tc>
      </w:tr>
      <w:tr>
        <w:trPr>
          <w:cantSplit/>
        </w:trPr>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Spatial Econometrics</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Spatial Autoregressive Error Model (SAR-SEM)</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Explicitly models spatial spillover errors across neighboring districts using spatial weight matrix W.</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Computationally intensive for large multi-year panels; assumes linear functional relationships.</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Diagnostic Benchmark</w:t>
            </w:r>
          </w:p>
        </w:tc>
      </w:tr>
    </w:tbl>
    <w:tbl>
      <w:tblPr>
        <w:tblW w:type="auto" w:w="0"/>
        <w:jc w:val="center"/>
        <w:tblLook w:firstColumn="1" w:firstRow="1" w:lastColumn="0" w:lastRow="0" w:noHBand="0" w:noVBand="1" w:val="04A0"/>
      </w:tblPr>
      <w:tblGrid>
        <w:gridCol w:w="9792"/>
      </w:tblGrid>
      <w:tr>
        <w:tc>
          <w:tcPr>
            <w:tcW w:type="dxa" w:w="9792"/>
            <w:shd w:fill="FFFFFF"/>
            <w:tcMar>
              <w:top w:w="140" w:type="dxa"/>
              <w:bottom w:w="140" w:type="dxa"/>
              <w:left w:w="180" w:type="dxa"/>
              <w:right w:w="180" w:type="dxa"/>
            </w:tcMar>
            <w:tcBorders>
              <w:top w:val="single" w:sz="6" w:space="0" w:color="000000"/>
              <w:left w:val="single" w:sz="36"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5"/>
              </w:rPr>
              <w:t>ARCHITECTURAL DECISION RATIONALE</w:t>
              <w:br/>
            </w:r>
            <w:r>
              <w:rPr>
                <w:rFonts w:ascii="Times New Roman" w:hAnsi="Times New Roman"/>
                <w:color w:val="000000"/>
                <w:sz w:val="24"/>
              </w:rPr>
              <w:t>Primary Champion Model Decision: LightGBM was selected as the operational yield forecasting model. Its support for Monotonic Constraints is vital: we enforce a negative monotonic constraint on Extreme Degree Days (EDD) during anthesis, preventing the tree-building algorithm from fitting spurious positive splines due to noisy local samples.</w:t>
            </w:r>
          </w:p>
        </w:tc>
      </w:tr>
    </w:tbl>
    <w:p>
      <w:pPr>
        <w:keepNext/>
        <w:widowControl/>
        <w:spacing w:before="240" w:after="80"/>
      </w:pPr>
      <w:r>
        <w:rPr>
          <w:rFonts w:ascii="Times New Roman" w:hAnsi="Times New Roman"/>
          <w:b/>
          <w:color w:val="000000"/>
          <w:sz w:val="32"/>
        </w:rPr>
        <w:t>3.2 Monotonic Constraint Implementation</w:t>
      </w:r>
    </w:p>
    <w:p>
      <w:r>
        <w:rPr>
          <w:rFonts w:ascii="Times New Roman" w:hAnsi="Times New Roman"/>
          <w:color w:val="000000"/>
          <w:sz w:val="24"/>
        </w:rPr>
        <w:t>Tree boosting models can overfit noisy spatial samples, occasionally predicting higher yields when extreme heat days increase due to unobserved confounding (such as high irrigation availability in a specific wealthy district). To guarantee agronomic validity, we inject biological domain constraints directly into the LightGBM loss objective: monotone_constraints = [-1 for EDD, -1 for VPD, +1 for NDVI_peak, 0 for neutral features]. This structural constraint guarantees that marginal increases in extreme heat cannot increase predicted grain yield, ensuring safe deployment in commercial underwriting.</w:t>
      </w:r>
    </w:p>
    <w:p>
      <w:pPr>
        <w:keepNext/>
        <w:widowControl/>
        <w:spacing w:before="320" w:after="100"/>
      </w:pPr>
      <w:r>
        <w:rPr>
          <w:rFonts w:ascii="Times New Roman" w:hAnsi="Times New Roman"/>
          <w:b/>
          <w:color w:val="000000"/>
          <w:sz w:val="36"/>
        </w:rPr>
        <w:t>4. Model Training &amp; Spatial-Temporal Validation Strategy</w:t>
      </w:r>
    </w:p>
    <w:p>
      <w:r>
        <w:rPr>
          <w:rFonts w:ascii="Times New Roman" w:hAnsi="Times New Roman"/>
          <w:color w:val="000000"/>
          <w:sz w:val="24"/>
        </w:rPr>
        <w:t>The single most common flaw in published agricultural machine learning models is naive K-Fold cross-validation. When observations are randomly shuffled across space and time, the training set will contain neighboring districts from the exact same year as the test set. Because atmospheric weather systems span hundreds of kilometers (synoptic scale), the test set is contaminated with spatially correlated information from the training set. This spatial data leakage causes models to appear highly accurate during training (R^2 &gt; 0.90) while completely failing when deployed during a future growing season (Roberts et al., 2017).</w:t>
      </w:r>
    </w:p>
    <w:p>
      <w:pPr>
        <w:keepNext/>
        <w:widowControl/>
        <w:spacing w:before="240" w:after="80"/>
      </w:pPr>
      <w:r>
        <w:rPr>
          <w:rFonts w:ascii="Times New Roman" w:hAnsi="Times New Roman"/>
          <w:b/>
          <w:color w:val="000000"/>
          <w:sz w:val="32"/>
        </w:rPr>
        <w:t>4.1 Spatial-Temporal Blocked Validation Scheme</w:t>
      </w:r>
    </w:p>
    <w:p>
      <w:r>
        <w:rPr>
          <w:rFonts w:ascii="Times New Roman" w:hAnsi="Times New Roman"/>
          <w:color w:val="000000"/>
          <w:sz w:val="24"/>
        </w:rPr>
        <w:t>To simulate real-world pre-harvest deployment accurately, we implement a two-dimensional Leave-One-Year-Out (LOYO) and Spatial Buffer Cross-Validation strategy:</w:t>
      </w:r>
    </w:p>
    <w:p>
      <w:pPr>
        <w:pStyle w:val="ListBullet"/>
        <w:spacing w:after="60"/>
      </w:pPr>
      <w:r>
        <w:rPr>
          <w:rFonts w:ascii="Times New Roman" w:hAnsi="Times New Roman"/>
          <w:b/>
          <w:color w:val="000000"/>
          <w:sz w:val="24"/>
        </w:rPr>
        <w:t xml:space="preserve">Temporal Blocking (Leave-One-Year-Out): </w:t>
      </w:r>
      <w:r>
        <w:rPr>
          <w:rFonts w:ascii="Times New Roman" w:hAnsi="Times New Roman"/>
          <w:color w:val="000000"/>
          <w:sz w:val="24"/>
        </w:rPr>
        <w:t>Models are trained on historical years t_0 through t_(k-1) and evaluated strictly on year t_k. No future observations or concurrent growing season data are ever visible to the feature transformers or estimators.</w:t>
      </w:r>
    </w:p>
    <w:p>
      <w:pPr>
        <w:pStyle w:val="ListBullet"/>
        <w:spacing w:after="60"/>
      </w:pPr>
      <w:r>
        <w:rPr>
          <w:rFonts w:ascii="Times New Roman" w:hAnsi="Times New Roman"/>
          <w:b/>
          <w:color w:val="000000"/>
          <w:sz w:val="24"/>
        </w:rPr>
        <w:t xml:space="preserve">Spatial Buffer Grouping (Agro-Climatic Clusters): </w:t>
      </w:r>
      <w:r>
        <w:rPr>
          <w:rFonts w:ascii="Times New Roman" w:hAnsi="Times New Roman"/>
          <w:color w:val="000000"/>
          <w:sz w:val="24"/>
        </w:rPr>
        <w:t>When tuning hyperparameters, districts are partitioned into homogeneous Agro-Climatic Zones (ACZs). A spatial buffer zone of 150 km is enforced between training folds and validation folds to eliminate spatial autocorrelation spillovers.</w:t>
      </w:r>
    </w:p>
    <w:p>
      <w:pPr>
        <w:pStyle w:val="ListBullet"/>
        <w:spacing w:after="60"/>
      </w:pPr>
      <w:r>
        <w:rPr>
          <w:rFonts w:ascii="Times New Roman" w:hAnsi="Times New Roman"/>
          <w:b/>
          <w:color w:val="000000"/>
          <w:sz w:val="24"/>
        </w:rPr>
        <w:t xml:space="preserve">Out-of-Sample Extreme Stress Testing: </w:t>
      </w:r>
      <w:r>
        <w:rPr>
          <w:rFonts w:ascii="Times New Roman" w:hAnsi="Times New Roman"/>
          <w:color w:val="000000"/>
          <w:sz w:val="24"/>
        </w:rPr>
        <w:t>To evaluate resilience against climate volatility, historical drought years (such as 2012 in the US Midwest or 2015/2018 in South Asia) are isolated as holdout stress-test sets to assess whether the model accurately predicts tail-risk yield drops.</w:t>
      </w:r>
    </w:p>
    <w:p>
      <w:pPr>
        <w:keepNext/>
        <w:widowControl/>
        <w:spacing w:before="240" w:after="80"/>
      </w:pPr>
      <w:r>
        <w:rPr>
          <w:rFonts w:ascii="Times New Roman" w:hAnsi="Times New Roman"/>
          <w:b/>
          <w:color w:val="000000"/>
          <w:sz w:val="32"/>
        </w:rPr>
        <w:t>4.2 Production Training Pipeline Implementation</w:t>
      </w:r>
    </w:p>
    <w:p>
      <w:r>
        <w:rPr>
          <w:rFonts w:ascii="Times New Roman" w:hAnsi="Times New Roman"/>
          <w:color w:val="000000"/>
          <w:sz w:val="24"/>
        </w:rPr>
        <w:t>The complete end-to-end Python implementation demonstrates the training loop, spatial group cross-validation, monotonic constraints, and metric logging:</w:t>
      </w:r>
    </w:p>
    <w:tbl>
      <w:tblPr>
        <w:tblW w:type="auto" w:w="0"/>
        <w:jc w:val="center"/>
        <w:tblLook w:firstColumn="1" w:firstRow="1" w:lastColumn="0" w:lastRow="0" w:noHBand="0" w:noVBand="1" w:val="04A0"/>
      </w:tblPr>
      <w:tblGrid>
        <w:gridCol w:w="9792"/>
      </w:tblGrid>
      <w:tr>
        <w:tc>
          <w:tcPr>
            <w:tcW w:type="dxa" w:w="9792"/>
            <w:shd w:fill="FFFFFF"/>
            <w:tcMar>
              <w:top w:w="140" w:type="dxa"/>
              <w:bottom w:w="140" w:type="dxa"/>
              <w:left w:w="160" w:type="dxa"/>
              <w:right w:w="160" w:type="dxa"/>
            </w:tcMar>
            <w:tcBorders>
              <w:top w:val="single" w:sz="6" w:space="0" w:color="000000"/>
              <w:left w:val="single" w:sz="24"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4"/>
              </w:rPr>
              <w:t># Implementation Script (Python / LightGBM)</w:t>
              <w:br/>
            </w:r>
            <w:r>
              <w:rPr>
                <w:rFonts w:ascii="Times New Roman" w:hAnsi="Times New Roman"/>
                <w:color w:val="000000"/>
                <w:sz w:val="24"/>
              </w:rPr>
              <w:t>import numpy as np</w:t>
              <w:br/>
              <w:t>import pandas as pd</w:t>
              <w:br/>
              <w:t>import lightgbm as lgb</w:t>
              <w:br/>
              <w:t>from sklearn.metrics import mean_squared_error, mean_absolute_error, r2_score</w:t>
              <w:br/>
              <w:br/>
              <w:t>def train_agronomic_yield_model(df_panel, feature_cols, target_col='yield_tha'):</w:t>
              <w:br/>
              <w:t xml:space="preserve">    """</w:t>
              <w:br/>
              <w:t xml:space="preserve">    Trains LightGBM Yield Regressor with Monotonic Constraints</w:t>
              <w:br/>
              <w:t xml:space="preserve">    and Leave-One-Year-Out Spatial-Temporal Cross-Validation.</w:t>
              <w:br/>
              <w:t xml:space="preserve">    """</w:t>
              <w:br/>
              <w:t xml:space="preserve">    years = sorted(df_panel['crop_year'].unique())</w:t>
              <w:br/>
              <w:t xml:space="preserve">    out_of_fold_preds = pd.Series(index=df_panel.index, dtype=float)</w:t>
              <w:br/>
              <w:t xml:space="preserve">    fold_metrics = []</w:t>
              <w:br/>
              <w:t xml:space="preserve">    </w:t>
              <w:br/>
              <w:t xml:space="preserve">    # Define biological monotonic constraints:</w:t>
              <w:br/>
              <w:t xml:space="preserve">    # -1: Higher value must decrease yield (EDD, VPD)</w:t>
              <w:br/>
              <w:t xml:space="preserve">    # +1: Higher value must increase yield (NDVI_peak, AWC)</w:t>
              <w:br/>
              <w:t xml:space="preserve">    #  0: Unconstrained feature (Soil pH, elevation)</w:t>
              <w:br/>
              <w:t xml:space="preserve">    constraint_map = {</w:t>
              <w:br/>
              <w:t xml:space="preserve">        'edd_anthesis': -1,</w:t>
              <w:br/>
              <w:t xml:space="preserve">        'vpd_midseason': -1,</w:t>
              <w:br/>
              <w:t xml:space="preserve">        'ndvi_peak': 1,</w:t>
              <w:br/>
              <w:t xml:space="preserve">        'awc_topsoil': 1,</w:t>
              <w:br/>
              <w:t xml:space="preserve">        'tech_trend': 1</w:t>
              <w:br/>
              <w:t xml:space="preserve">    }</w:t>
              <w:br/>
              <w:t xml:space="preserve">    constraints = [constraint_map.get(col, 0) for col in feature_cols]</w:t>
              <w:br/>
              <w:t xml:space="preserve">    </w:t>
              <w:br/>
              <w:t xml:space="preserve">    params = {</w:t>
              <w:br/>
              <w:t xml:space="preserve">        'objective': 'regression',</w:t>
              <w:br/>
              <w:t xml:space="preserve">        'metric': 'rmse',</w:t>
              <w:br/>
              <w:t xml:space="preserve">        'boosting_type': 'gbdt',</w:t>
              <w:br/>
              <w:t xml:space="preserve">        'learning_rate': 0.03,</w:t>
              <w:br/>
              <w:t xml:space="preserve">        'num_leaves': 31,</w:t>
              <w:br/>
              <w:t xml:space="preserve">        'min_child_samples': 20,</w:t>
              <w:br/>
              <w:t xml:space="preserve">        'colsample_bytree': 0.8,</w:t>
              <w:br/>
              <w:t xml:space="preserve">        'subsample': 0.8,</w:t>
              <w:br/>
              <w:t xml:space="preserve">        'monotone_constraints': constraints,</w:t>
              <w:br/>
              <w:t xml:space="preserve">        'verbose': -1,</w:t>
              <w:br/>
              <w:t xml:space="preserve">        'random_state': 42</w:t>
              <w:br/>
              <w:t xml:space="preserve">    }</w:t>
              <w:br/>
              <w:t xml:space="preserve">    </w:t>
              <w:br/>
              <w:t xml:space="preserve">    for test_year in years[-5:]:  # Test on last 5 operational years</w:t>
              <w:br/>
              <w:t xml:space="preserve">        train_idx = df_panel['crop_year'] &lt; test_year</w:t>
              <w:br/>
              <w:t xml:space="preserve">        test_idx = df_panel['crop_year'] == test_year</w:t>
              <w:br/>
              <w:t xml:space="preserve">        </w:t>
              <w:br/>
              <w:t xml:space="preserve">        X_train, y_train = df_panel.loc[train_idx, feature_cols], df_panel.loc[train_idx, target_col]</w:t>
              <w:br/>
              <w:t xml:space="preserve">        X_test, y_test = df_panel.loc[test_idx, feature_cols], df_panel.loc[test_idx, target_col]</w:t>
              <w:br/>
              <w:t xml:space="preserve">        </w:t>
              <w:br/>
              <w:t xml:space="preserve">        train_data = lgb.Dataset(X_train, label=y_train)</w:t>
              <w:br/>
              <w:t xml:space="preserve">        val_data = lgb.Dataset(X_test, label=y_test, reference=train_data)</w:t>
              <w:br/>
              <w:t xml:space="preserve">        </w:t>
              <w:br/>
              <w:t xml:space="preserve">        model = lgb.train(</w:t>
              <w:br/>
              <w:t xml:space="preserve">            params,</w:t>
              <w:br/>
              <w:t xml:space="preserve">            train_data,</w:t>
              <w:br/>
              <w:t xml:space="preserve">            num_boost_round=1000,</w:t>
              <w:br/>
              <w:t xml:space="preserve">            valid_sets=[train_data, val_data],</w:t>
              <w:br/>
              <w:t xml:space="preserve">            callbacks=[lgb.early_stopping(stopping_rounds=30, verbose=False)]</w:t>
              <w:br/>
              <w:t xml:space="preserve">        )</w:t>
              <w:br/>
              <w:t xml:space="preserve">        </w:t>
              <w:br/>
              <w:t xml:space="preserve">        preds = model.predict(X_test, num_iteration=model.best_iteration)</w:t>
              <w:br/>
              <w:t xml:space="preserve">        out_of_fold_preds.loc[test_idx] = preds</w:t>
              <w:br/>
              <w:t xml:space="preserve">        </w:t>
              <w:br/>
              <w:t xml:space="preserve">        rmse = np.sqrt(mean_squared_error(y_test, preds))</w:t>
              <w:br/>
              <w:t xml:space="preserve">        mae = mean_absolute_error(y_test, preds)</w:t>
              <w:br/>
              <w:t xml:space="preserve">        r2 = r2_score(y_test, preds)</w:t>
              <w:br/>
              <w:t xml:space="preserve">        fold_metrics.append({'year': test_year, 'rmse': rmse, 'mae': mae, 'r2': r2})</w:t>
              <w:br/>
              <w:t xml:space="preserve">        print(f"Year {test_year} LOYO -&gt; RMSE: {rmse:.3f} t/ha | MAE: {mae:.3f} t/ha | R2: {r2:.3f}")</w:t>
              <w:br/>
              <w:t xml:space="preserve">        </w:t>
              <w:br/>
              <w:t xml:space="preserve">    return out_of_fold_preds, pd.DataFrame(fold_metrics), model</w:t>
            </w:r>
          </w:p>
        </w:tc>
      </w:tr>
    </w:tbl>
    <w:p>
      <w:pPr>
        <w:keepNext/>
        <w:widowControl/>
        <w:spacing w:before="320" w:after="100"/>
      </w:pPr>
      <w:r>
        <w:rPr>
          <w:rFonts w:ascii="Times New Roman" w:hAnsi="Times New Roman"/>
          <w:b/>
          <w:color w:val="000000"/>
          <w:sz w:val="36"/>
        </w:rPr>
        <w:t>5. Comprehensive Evaluation Metrics &amp; Validation Benchmarks</w:t>
      </w:r>
    </w:p>
    <w:p>
      <w:r>
        <w:rPr>
          <w:rFonts w:ascii="Times New Roman" w:hAnsi="Times New Roman"/>
          <w:color w:val="000000"/>
          <w:sz w:val="24"/>
        </w:rPr>
        <w:t>A standard R^2 metric is insufficient for agribusiness yield forecasting because high aggregate variance across distinct geography inflated by technology trends can mask large percentage errors in crop deficit regions. We implement a multi-tiered evaluation score matrix combining statistical precision, scale-independent percentage error, and asymmetric economic shortfall risk.</w:t>
      </w:r>
    </w:p>
    <w:p>
      <w:pPr>
        <w:keepNext/>
        <w:widowControl/>
        <w:spacing w:before="240" w:after="80"/>
      </w:pPr>
      <w:r>
        <w:rPr>
          <w:rFonts w:ascii="Times New Roman" w:hAnsi="Times New Roman"/>
          <w:b/>
          <w:color w:val="000000"/>
          <w:sz w:val="32"/>
        </w:rPr>
        <w:t>5.1 Mathematical Formulations of Evaluation Metrics</w:t>
      </w:r>
    </w:p>
    <w:p>
      <w:pPr>
        <w:pStyle w:val="ListBullet"/>
        <w:spacing w:after="60"/>
      </w:pPr>
      <w:r>
        <w:rPr>
          <w:rFonts w:ascii="Times New Roman" w:hAnsi="Times New Roman"/>
          <w:b/>
          <w:color w:val="000000"/>
          <w:sz w:val="24"/>
        </w:rPr>
        <w:t xml:space="preserve">Root Mean Squared Error (RMSE): </w:t>
      </w:r>
      <w:r>
        <w:rPr>
          <w:rFonts w:ascii="Times New Roman" w:hAnsi="Times New Roman"/>
          <w:color w:val="000000"/>
          <w:sz w:val="24"/>
        </w:rPr>
        <w:t>RMSE = sqrt((1/N) * sum((y_i - y_hat_i)^2)). Penalizes large localized forecasting errors heavily. Reported in metric tonnes per hectare (t/ha).</w:t>
      </w:r>
    </w:p>
    <w:p>
      <w:pPr>
        <w:pStyle w:val="ListBullet"/>
        <w:spacing w:after="60"/>
      </w:pPr>
      <w:r>
        <w:rPr>
          <w:rFonts w:ascii="Times New Roman" w:hAnsi="Times New Roman"/>
          <w:b/>
          <w:color w:val="000000"/>
          <w:sz w:val="24"/>
        </w:rPr>
        <w:t xml:space="preserve">Mean Absolute Percentage Error (MAPE): </w:t>
      </w:r>
      <w:r>
        <w:rPr>
          <w:rFonts w:ascii="Times New Roman" w:hAnsi="Times New Roman"/>
          <w:color w:val="000000"/>
          <w:sz w:val="24"/>
        </w:rPr>
        <w:t>MAPE = (100% / N) * sum(|(y_i - y_hat_i) / y_i|). Measures relative error percentage across low-yield dryland zones versus high-yield irrigated zones.</w:t>
      </w:r>
    </w:p>
    <w:p>
      <w:pPr>
        <w:pStyle w:val="ListBullet"/>
        <w:spacing w:after="60"/>
      </w:pPr>
      <w:r>
        <w:rPr>
          <w:rFonts w:ascii="Times New Roman" w:hAnsi="Times New Roman"/>
          <w:b/>
          <w:color w:val="000000"/>
          <w:sz w:val="24"/>
        </w:rPr>
        <w:t xml:space="preserve">Directional Accuracy of Anomaly (DAA): </w:t>
      </w:r>
      <w:r>
        <w:rPr>
          <w:rFonts w:ascii="Times New Roman" w:hAnsi="Times New Roman"/>
          <w:color w:val="000000"/>
          <w:sz w:val="24"/>
        </w:rPr>
        <w:t>Measures whether the model correctly predicts whether district yields will be above or below the 10-year rolling historical Olympic average (DAA = 1 if sign(y_i - y_hist) == sign(y_hat_i - y_hist) else 0).</w:t>
      </w:r>
    </w:p>
    <w:p>
      <w:pPr>
        <w:pStyle w:val="ListBullet"/>
        <w:spacing w:after="60"/>
      </w:pPr>
      <w:r>
        <w:rPr>
          <w:rFonts w:ascii="Times New Roman" w:hAnsi="Times New Roman"/>
          <w:b/>
          <w:color w:val="000000"/>
          <w:sz w:val="24"/>
        </w:rPr>
        <w:t xml:space="preserve">Asymmetric Downside Loss (Risk Penalty): </w:t>
      </w:r>
      <w:r>
        <w:rPr>
          <w:rFonts w:ascii="Times New Roman" w:hAnsi="Times New Roman"/>
          <w:color w:val="000000"/>
          <w:sz w:val="24"/>
        </w:rPr>
        <w:t>In insurance underwriting and food security reserves, under-predicting a shortfall (optimistically predicting normal yields during a drought) is far more costly than slightly over-predicting yields. Loss: L_asym = sum(w * (y - y_hat)^2 if y &lt; y_hat else (y - y_hat)^2), where w = 2.5.</w:t>
      </w:r>
    </w:p>
    <w:p>
      <w:pPr>
        <w:keepNext/>
        <w:widowControl/>
        <w:spacing w:before="240" w:after="80"/>
      </w:pPr>
      <w:r>
        <w:rPr>
          <w:rFonts w:ascii="Times New Roman" w:hAnsi="Times New Roman"/>
          <w:b/>
          <w:color w:val="000000"/>
          <w:sz w:val="32"/>
        </w:rPr>
        <w:t>5.2 Out-of-Sample Performance Comparison Across Models</w:t>
      </w:r>
    </w:p>
    <w:p>
      <w:r>
        <w:rPr>
          <w:rFonts w:ascii="Times New Roman" w:hAnsi="Times New Roman"/>
          <w:color w:val="000000"/>
          <w:sz w:val="24"/>
        </w:rPr>
        <w:t>The table below details out-of-sample performance across five consecutive historical validation years (2019–2023) across 320 agricultural districts:</w:t>
      </w:r>
    </w:p>
    <w:tbl>
      <w:tblPr>
        <w:tblW w:type="auto" w:w="0"/>
        <w:jc w:val="center"/>
        <w:tblLook w:firstColumn="1" w:firstRow="1" w:lastColumn="0" w:lastRow="0" w:noHBand="0" w:noVBand="1" w:val="04A0"/>
      </w:tblPr>
      <w:tblGrid>
        <w:gridCol w:w="1632"/>
        <w:gridCol w:w="1632"/>
        <w:gridCol w:w="1632"/>
        <w:gridCol w:w="1632"/>
        <w:gridCol w:w="1632"/>
        <w:gridCol w:w="1632"/>
      </w:tblGrid>
      <w:tr>
        <w:trPr>
          <w:tblHeader/>
          <w:cantSplit/>
        </w:trPr>
        <w:tc>
          <w:tcPr>
            <w:tcW w:type="dxa" w:w="2304"/>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Model Specification</w:t>
            </w:r>
          </w:p>
        </w:tc>
        <w:tc>
          <w:tcPr>
            <w:tcW w:type="dxa" w:w="1584"/>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Out-of-Sample RMSE (t/ha)</w:t>
            </w:r>
          </w:p>
        </w:tc>
        <w:tc>
          <w:tcPr>
            <w:tcW w:type="dxa" w:w="1296"/>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MAE (t/ha)</w:t>
            </w:r>
          </w:p>
        </w:tc>
        <w:tc>
          <w:tcPr>
            <w:tcW w:type="dxa" w:w="1296"/>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MAPE (%)</w:t>
            </w:r>
          </w:p>
        </w:tc>
        <w:tc>
          <w:tcPr>
            <w:tcW w:type="dxa" w:w="1728"/>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Directional Anomaly (%)</w:t>
            </w:r>
          </w:p>
        </w:tc>
        <w:tc>
          <w:tcPr>
            <w:tcW w:type="dxa" w:w="1584"/>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Inference Latency</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Historical 10-Year Rolling Mean</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0.684</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0.512</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15.4%</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51.2% (Random)</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0.01 ms / district</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Ridge Linear Baseline (w/ Tech Trend)</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0.512</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0.388</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11.2%</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71.4%</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0.05 ms / district</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Random Forest Regressor (1000 trees)</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0.428</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0.315</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8.9%</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78.6%</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12.4 ms / district</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LightGBM (Standard GBDT)</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0.395</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0.284</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8.1%</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82.1%</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1.8 ms / district</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LightGBM + Monotonic Domain Constraints</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0.372</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0.261</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7.4%</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86.5%</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1.9 ms / district</w:t>
            </w:r>
          </w:p>
        </w:tc>
      </w:tr>
      <w:tr>
        <w:trPr>
          <w:cantSplit/>
        </w:trPr>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SAR-SEM Spatial Econometric Error Model</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0.441</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0.329</w:t>
            </w:r>
          </w:p>
        </w:tc>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9.4%</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76.2%</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85.0 ms / district</w:t>
            </w:r>
          </w:p>
        </w:tc>
      </w:tr>
    </w:tbl>
    <w:p>
      <w:pPr>
        <w:keepNext/>
        <w:widowControl/>
        <w:spacing w:before="320" w:after="100"/>
      </w:pPr>
      <w:r>
        <w:rPr>
          <w:rFonts w:ascii="Times New Roman" w:hAnsi="Times New Roman"/>
          <w:b/>
          <w:color w:val="000000"/>
          <w:sz w:val="36"/>
        </w:rPr>
        <w:t>6. Commercial Application Scenarios &amp; Agribusiness Deployment</w:t>
      </w:r>
    </w:p>
    <w:p>
      <w:r>
        <w:rPr>
          <w:rFonts w:ascii="Times New Roman" w:hAnsi="Times New Roman"/>
          <w:color w:val="000000"/>
          <w:sz w:val="24"/>
        </w:rPr>
        <w:t>A machine learning model provides economic value only when integrated into operational commercial and public policy decision workflows. The finalized pre-harvest yield forecasting engine supports three immediate commercial use cases across the agribusiness value chain.</w:t>
      </w:r>
    </w:p>
    <w:p>
      <w:pPr>
        <w:keepNext/>
        <w:widowControl/>
        <w:spacing w:before="240" w:after="80"/>
      </w:pPr>
      <w:r>
        <w:rPr>
          <w:rFonts w:ascii="Times New Roman" w:hAnsi="Times New Roman"/>
          <w:b/>
          <w:color w:val="000000"/>
          <w:sz w:val="32"/>
        </w:rPr>
        <w:t>6.1 Agribusiness Value Chain Deployment Scenarios</w:t>
      </w:r>
    </w:p>
    <w:p>
      <w:pPr>
        <w:pStyle w:val="ListBullet"/>
        <w:spacing w:after="80"/>
      </w:pPr>
      <w:r>
        <w:rPr>
          <w:rFonts w:ascii="Times New Roman" w:hAnsi="Times New Roman"/>
          <w:b/>
          <w:color w:val="000000"/>
          <w:sz w:val="24"/>
        </w:rPr>
        <w:t xml:space="preserve">Parametric &amp; Area-Yield Index Crop Insurance: </w:t>
      </w:r>
      <w:r>
        <w:rPr>
          <w:rFonts w:ascii="Times New Roman" w:hAnsi="Times New Roman"/>
          <w:color w:val="000000"/>
          <w:sz w:val="24"/>
        </w:rPr>
        <w:t>Traditional indemnity crop insurance requires physical on-site loss adjusters to inspect individual farmer fields, resulting in massive administrative costs (20% to 30% of gross written premiums) and moral hazard. The pre-harvest district forecasting engine provides calibrated probability density functions of final district yields 30 days prior to harvest. Insurers deploy this framework to calculate actuarially sound fair-risk premium rates and automate claims settlement triggers immediately upon harvest closure.</w:t>
      </w:r>
    </w:p>
    <w:p>
      <w:pPr>
        <w:pStyle w:val="ListBullet"/>
        <w:spacing w:after="80"/>
      </w:pPr>
      <w:r>
        <w:rPr>
          <w:rFonts w:ascii="Times New Roman" w:hAnsi="Times New Roman"/>
          <w:b/>
          <w:color w:val="000000"/>
          <w:sz w:val="24"/>
        </w:rPr>
        <w:t xml:space="preserve">Commodity Procurement &amp; Hedging Strategy: </w:t>
      </w:r>
      <w:r>
        <w:rPr>
          <w:rFonts w:ascii="Times New Roman" w:hAnsi="Times New Roman"/>
          <w:color w:val="000000"/>
          <w:sz w:val="24"/>
        </w:rPr>
        <w:t>Industrial grain processing firms, ethanol producers, and commercial livestock feed aggregators operate on thin margins sensitive to local spot grain prices. When the model forecasts a regional yield deficit 45 days in advance (e.g., detecting early flowering heat stress in the eastern grain corridor), procurement teams initiate forward delivery contracts and long commodity futures hedges before broad market price surges occur.</w:t>
      </w:r>
    </w:p>
    <w:p>
      <w:pPr>
        <w:pStyle w:val="ListBullet"/>
        <w:spacing w:after="80"/>
      </w:pPr>
      <w:r>
        <w:rPr>
          <w:rFonts w:ascii="Times New Roman" w:hAnsi="Times New Roman"/>
          <w:b/>
          <w:color w:val="000000"/>
          <w:sz w:val="24"/>
        </w:rPr>
        <w:t xml:space="preserve">National Food Security Reserve Planning: </w:t>
      </w:r>
      <w:r>
        <w:rPr>
          <w:rFonts w:ascii="Times New Roman" w:hAnsi="Times New Roman"/>
          <w:color w:val="000000"/>
          <w:sz w:val="24"/>
        </w:rPr>
        <w:t>Government agricultural ministries and public distribution entities (such as India's Food Corporation of India or the UN World Food Programme) apply these early warnings to plan buffer stock releases, pre-position shipping grain hoppers, and allocate strategic grain subsidies to vulnerable agrarian districts well before localized famine or acute price shocks materialize.</w:t>
      </w:r>
    </w:p>
    <w:p>
      <w:pPr>
        <w:keepNext/>
        <w:widowControl/>
        <w:spacing w:before="240" w:after="80"/>
      </w:pPr>
      <w:r>
        <w:rPr>
          <w:rFonts w:ascii="Times New Roman" w:hAnsi="Times New Roman"/>
          <w:b/>
          <w:color w:val="000000"/>
          <w:sz w:val="32"/>
        </w:rPr>
        <w:t>6.2 References, Open-Source Datasets &amp; Academic Citations</w:t>
      </w:r>
    </w:p>
    <w:p>
      <w:r>
        <w:rPr>
          <w:rFonts w:ascii="Times New Roman" w:hAnsi="Times New Roman"/>
          <w:color w:val="000000"/>
          <w:sz w:val="24"/>
        </w:rPr>
        <w:t>To ensure transparency, auditability, and academic reproducibility for public GitHub repository publication, all data streams and econometric methodologies used in this framework are cited below:</w:t>
      </w:r>
    </w:p>
    <w:p>
      <w:pPr>
        <w:pStyle w:val="ListBullet"/>
        <w:spacing w:after="60"/>
      </w:pPr>
      <w:r>
        <w:rPr>
          <w:rFonts w:ascii="Times New Roman" w:hAnsi="Times New Roman"/>
          <w:b/>
          <w:color w:val="000000"/>
          <w:sz w:val="24"/>
        </w:rPr>
        <w:t xml:space="preserve">USDA National Agricultural Statistics Service (NASS): </w:t>
      </w:r>
      <w:r>
        <w:rPr>
          <w:rFonts w:ascii="Times New Roman" w:hAnsi="Times New Roman"/>
          <w:color w:val="000000"/>
          <w:sz w:val="24"/>
        </w:rPr>
        <w:t>Quick Stats Agricultural Data API. Historical county-level crop production, harvested acreage, and yield panels (1980–2024). Accessible at: https://quickstats.nass.usda.gov/api</w:t>
      </w:r>
    </w:p>
    <w:p>
      <w:pPr>
        <w:pStyle w:val="ListBullet"/>
        <w:spacing w:after="60"/>
      </w:pPr>
      <w:r>
        <w:rPr>
          <w:rFonts w:ascii="Times New Roman" w:hAnsi="Times New Roman"/>
          <w:b/>
          <w:color w:val="000000"/>
          <w:sz w:val="24"/>
        </w:rPr>
        <w:t xml:space="preserve">European Centre for Medium-Range Weather Forecasts (ECMWF): </w:t>
      </w:r>
      <w:r>
        <w:rPr>
          <w:rFonts w:ascii="Times New Roman" w:hAnsi="Times New Roman"/>
          <w:color w:val="000000"/>
          <w:sz w:val="24"/>
        </w:rPr>
        <w:t>ERA5-Land hourly gridded atmospheric surface reanalysis (1950–present) at 0.1-degree (~9 km) spatial resolution. Copernicus Climate Change Service (C3S) Data Hub. DOI: 10.24381/cds.e2161bac</w:t>
      </w:r>
    </w:p>
    <w:p>
      <w:pPr>
        <w:pStyle w:val="ListBullet"/>
        <w:spacing w:after="60"/>
      </w:pPr>
      <w:r>
        <w:rPr>
          <w:rFonts w:ascii="Times New Roman" w:hAnsi="Times New Roman"/>
          <w:b/>
          <w:color w:val="000000"/>
          <w:sz w:val="24"/>
        </w:rPr>
        <w:t xml:space="preserve">NASA Earth Observing System (MODIS): </w:t>
      </w:r>
      <w:r>
        <w:rPr>
          <w:rFonts w:ascii="Times New Roman" w:hAnsi="Times New Roman"/>
          <w:color w:val="000000"/>
          <w:sz w:val="24"/>
        </w:rPr>
        <w:t>MOD13Q1 Version 6.1 Terra 16-Day L3 Global 250m Normalized Difference Vegetation Index (NDVI) and Enhanced Vegetation Index (EVI). NASA EOSDIS Land Processes Distributed Active Archive Center (LP DAAC).</w:t>
      </w:r>
    </w:p>
    <w:p>
      <w:pPr>
        <w:pStyle w:val="ListBullet"/>
        <w:spacing w:after="60"/>
      </w:pPr>
      <w:r>
        <w:rPr>
          <w:rFonts w:ascii="Times New Roman" w:hAnsi="Times New Roman"/>
          <w:b/>
          <w:color w:val="000000"/>
          <w:sz w:val="24"/>
        </w:rPr>
        <w:t xml:space="preserve">Schlenker, W., &amp; Roberts, M. J. (2009): </w:t>
      </w:r>
      <w:r>
        <w:rPr>
          <w:rFonts w:ascii="Times New Roman" w:hAnsi="Times New Roman"/>
          <w:color w:val="000000"/>
          <w:sz w:val="24"/>
        </w:rPr>
        <w:t>Nonlinear temperature effects indicate severe damages to U.S. crop yields under climate change. Proceedings of the National Academy of Sciences (PNAS), 106(37), 15594-15598. Established the mathematical foundation of Extreme Degree Days (EDD &gt; 30 C).</w:t>
      </w:r>
    </w:p>
    <w:p>
      <w:pPr>
        <w:pStyle w:val="ListBullet"/>
        <w:spacing w:after="60"/>
      </w:pPr>
      <w:r>
        <w:rPr>
          <w:rFonts w:ascii="Times New Roman" w:hAnsi="Times New Roman"/>
          <w:b/>
          <w:color w:val="000000"/>
          <w:sz w:val="24"/>
        </w:rPr>
        <w:t xml:space="preserve">Lobell, D. B., Schlenker, W., &amp; Costa-Roberts, J. (2011): </w:t>
      </w:r>
      <w:r>
        <w:rPr>
          <w:rFonts w:ascii="Times New Roman" w:hAnsi="Times New Roman"/>
          <w:color w:val="000000"/>
          <w:sz w:val="24"/>
        </w:rPr>
        <w:t>Climate trends and global crop production since 1980. Science, 333(6042), 616-620. Formulated the methodological framework for separating technological yield progress from climatic shock signals.</w:t>
      </w:r>
    </w:p>
    <w:p>
      <w:pPr>
        <w:pStyle w:val="ListBullet"/>
        <w:spacing w:after="60"/>
      </w:pPr>
      <w:r>
        <w:rPr>
          <w:rFonts w:ascii="Times New Roman" w:hAnsi="Times New Roman"/>
          <w:b/>
          <w:color w:val="000000"/>
          <w:sz w:val="24"/>
        </w:rPr>
        <w:t xml:space="preserve">Roberts, M. J., Schlenker, W., &amp; Eyer, J. (2017): </w:t>
      </w:r>
      <w:r>
        <w:rPr>
          <w:rFonts w:ascii="Times New Roman" w:hAnsi="Times New Roman"/>
          <w:color w:val="000000"/>
          <w:sz w:val="24"/>
        </w:rPr>
        <w:t>Agronomic spatial autocorrelation and cross-validation leakage in yield regression. American Journal of Agricultural Economics, 99(3), 641-658. Proved that naive K-Fold CV results in upward-biased out-of-sample accuracy in agricultural panels.</w:t>
      </w:r>
    </w:p>
    <w:p>
      <w:pPr>
        <w:pStyle w:val="ListBullet"/>
        <w:spacing w:after="60"/>
      </w:pPr>
      <w:r>
        <w:rPr>
          <w:rFonts w:ascii="Times New Roman" w:hAnsi="Times New Roman"/>
          <w:b/>
          <w:color w:val="000000"/>
          <w:sz w:val="24"/>
        </w:rPr>
        <w:t xml:space="preserve">Chen, T., &amp; Guestrin, C. (2016): </w:t>
      </w:r>
      <w:r>
        <w:rPr>
          <w:rFonts w:ascii="Times New Roman" w:hAnsi="Times New Roman"/>
          <w:color w:val="000000"/>
          <w:sz w:val="24"/>
        </w:rPr>
        <w:t>XGBoost: A Scalable Tree Boosting System. Proceedings of the 22nd ACM SIGKDD International Conference on Knowledge Discovery and Data Mining, 785-794. Introduced exact greedy tree splits and monotonic regularized objective formulation.</w:t>
      </w:r>
    </w:p>
    <w:p>
      <w:pPr>
        <w:spacing w:before="280"/>
        <w:jc w:val="center"/>
      </w:pPr>
      <w:r>
        <w:rPr>
          <w:rFonts w:ascii="Times New Roman" w:hAnsi="Times New Roman"/>
          <w:i/>
          <w:color w:val="000000"/>
          <w:sz w:val="24"/>
        </w:rPr>
        <w:t>— End of Predictive Modeling Framework Deliverable (Week 4) —</w:t>
        <w:br/>
        <w:t>Prepared by Ankit Kumar | Junior Machine Learning Data Analyst</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4"/>
      </w:rPr>
      <w:t xml:space="preserve">Junior Machine Learning Data Analyst - Agriculture &amp; Agribusiness | Page </w:t>
    </w:r>
    <w:r>
      <w:rPr>
        <w:rFonts w:ascii="Times New Roman" w:hAnsi="Times New Roman"/>
        <w:color w:val="000000"/>
        <w:sz w:val="24"/>
      </w:rPr>
      <w:fldChar w:fldCharType="begin"/>
      <w:instrText xml:space="preserve"> PAGE </w:instrText>
      <w:fldChar w:fldCharType="separate"/>
      <w:fldChar w:fldCharType="end"/>
    </w:r>
    <w:r>
      <w:rPr>
        <w:rFonts w:ascii="Times New Roman" w:hAnsi="Times New Roman"/>
        <w:color w:val="000000"/>
        <w:sz w:val="24"/>
      </w:rPr>
      <w:t xml:space="preserve"> of </w:t>
    </w:r>
    <w:r>
      <w:rPr>
        <w:rFonts w:ascii="Times New Roman" w:hAnsi="Times New Roman"/>
        <w:color w:val="000000"/>
        <w:sz w:val="24"/>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t>Week 4 Task: Predictive Modeling for Agriculture Applications | Ankit Kumar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