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Times New Roman" w:hAnsi="Times New Roman"/>
          <w:b/>
          <w:color w:val="000000"/>
          <w:sz w:val="28"/>
        </w:rPr>
        <w:t>INTERNSHIP FINAL CAPSTONE DELIVERABLE — WEEK 6</w:t>
      </w:r>
    </w:p>
    <w:p>
      <w:pPr>
        <w:keepNext/>
        <w:spacing w:before="40" w:after="80"/>
      </w:pPr>
      <w:r>
        <w:rPr>
          <w:rFonts w:ascii="Times New Roman" w:hAnsi="Times New Roman"/>
          <w:b/>
          <w:color w:val="000000"/>
          <w:sz w:val="40"/>
        </w:rPr>
        <w:t>Comprehensive Project Report &amp; Executive Presentation Strategy</w:t>
      </w:r>
    </w:p>
    <w:p>
      <w:pPr>
        <w:keepNext/>
        <w:spacing w:after="120"/>
      </w:pPr>
      <w:r>
        <w:rPr>
          <w:rFonts w:ascii="Times New Roman" w:hAnsi="Times New Roman"/>
          <w:i/>
          <w:color w:val="000000"/>
          <w:sz w:val="26"/>
        </w:rPr>
        <w:t>End-to-End Agriculture Machine Learning Pipeline, Stakeholder Translation, and Executive Capstone</w:t>
      </w:r>
    </w:p>
    <w:tbl>
      <w:tblPr>
        <w:tblW w:type="auto" w:w="0"/>
        <w:jc w:val="center"/>
        <w:tblLook w:firstColumn="1" w:firstRow="1" w:lastColumn="0" w:lastRow="0" w:noHBand="0" w:noVBand="1" w:val="04A0"/>
      </w:tblPr>
      <w:tblGrid>
        <w:gridCol w:w="4896"/>
        <w:gridCol w:w="4896"/>
      </w:tblGrid>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Intern / Author: </w:t>
            </w:r>
            <w:r>
              <w:rPr>
                <w:rFonts w:ascii="Times New Roman" w:hAnsi="Times New Roman"/>
                <w:b/>
                <w:color w:val="000000"/>
                <w:sz w:val="26"/>
              </w:rPr>
              <w:t>Ankit Kumar</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Target Role: </w:t>
            </w:r>
            <w:r>
              <w:rPr>
                <w:rFonts w:ascii="Times New Roman" w:hAnsi="Times New Roman"/>
                <w:color w:val="000000"/>
                <w:sz w:val="26"/>
              </w:rPr>
              <w:t>Junior Machine Learning Data Analyst</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Track: </w:t>
            </w:r>
            <w:r>
              <w:rPr>
                <w:rFonts w:ascii="Times New Roman" w:hAnsi="Times New Roman"/>
                <w:color w:val="000000"/>
                <w:sz w:val="26"/>
              </w:rPr>
              <w:t>Agriculture &amp; Agribusiness Analytics</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Deliverable ID: </w:t>
            </w:r>
            <w:r>
              <w:rPr>
                <w:rFonts w:ascii="Times New Roman" w:hAnsi="Times New Roman"/>
                <w:color w:val="000000"/>
                <w:sz w:val="26"/>
              </w:rPr>
              <w:t>Week 6 Capstone Report (W6)</w:t>
            </w:r>
          </w:p>
        </w:tc>
      </w:tr>
      <w:tr>
        <w:trPr>
          <w:cantSplit/>
        </w:trPr>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Capstone Scope: </w:t>
            </w:r>
            <w:r>
              <w:rPr>
                <w:rFonts w:ascii="Times New Roman" w:hAnsi="Times New Roman"/>
                <w:color w:val="000000"/>
                <w:sz w:val="26"/>
              </w:rPr>
              <w:t>End-to-End Pipeline Synthesis &amp; Stakeholder Strategy</w:t>
            </w:r>
          </w:p>
        </w:tc>
        <w:tc>
          <w:tcPr>
            <w:tcW w:type="dxa" w:w="4896"/>
            <w:shd w:fill="FFFFFF"/>
            <w:tcMar>
              <w:top w:w="70" w:type="dxa"/>
              <w:bottom w:w="70" w:type="dxa"/>
              <w:left w:w="120" w:type="dxa"/>
              <w:right w:w="120" w:type="dxa"/>
            </w:tcMar>
            <w:tcBorders>
              <w:top w:val="single" w:sz="12" w:space="0" w:color="000000"/>
              <w:left w:val="single" w:sz="12" w:space="0" w:color="000000"/>
              <w:bottom w:val="single" w:sz="12" w:space="0" w:color="000000"/>
              <w:right w:val="single" w:sz="12" w:space="0" w:color="000000"/>
            </w:tcBorders>
          </w:tcPr>
          <w:p>
            <w:pPr>
              <w:spacing w:after="0" w:line="288" w:lineRule="auto"/>
            </w:pPr>
            <w:r>
              <w:rPr>
                <w:rFonts w:ascii="Times New Roman" w:hAnsi="Times New Roman"/>
                <w:b/>
                <w:color w:val="000000"/>
                <w:sz w:val="27"/>
              </w:rPr>
              <w:t xml:space="preserve">Estimated Project Scope: </w:t>
            </w:r>
            <w:r>
              <w:rPr>
                <w:rFonts w:ascii="Times New Roman" w:hAnsi="Times New Roman"/>
                <w:color w:val="000000"/>
                <w:sz w:val="26"/>
              </w:rPr>
              <w:t>30 to 35 Hours Technical Execution</w:t>
            </w:r>
          </w:p>
        </w:tc>
      </w:tr>
    </w:tbl>
    <w:p>
      <w:pPr>
        <w:keepNext/>
        <w:widowControl/>
        <w:spacing w:before="320" w:after="100"/>
      </w:pPr>
      <w:r>
        <w:rPr>
          <w:rFonts w:ascii="Times New Roman" w:hAnsi="Times New Roman"/>
          <w:b/>
          <w:color w:val="000000"/>
          <w:sz w:val="36"/>
        </w:rPr>
        <w:t>1. Executive Summary</w:t>
      </w:r>
    </w:p>
    <w:p>
      <w:r>
        <w:rPr>
          <w:rFonts w:ascii="Times New Roman" w:hAnsi="Times New Roman"/>
          <w:color w:val="000000"/>
          <w:sz w:val="24"/>
        </w:rPr>
        <w:t>Over the course of this six-week virtual internship as Junior Machine Learning Data Analyst in Agriculture &amp; Agribusiness, we designed, implemented, and validated an enterprise-grade agricultural predictive analytics system. The project addressed a foundational vulnerability in agricultural supply chains and crop insurance: the inability of legacy survey systems to deliver accurate, localized, pre-harvest yield forecasts prior to physical market arrivals.</w:t>
      </w:r>
    </w:p>
    <w:p>
      <w:r>
        <w:rPr>
          <w:rFonts w:ascii="Times New Roman" w:hAnsi="Times New Roman"/>
          <w:color w:val="000000"/>
          <w:sz w:val="24"/>
        </w:rPr>
        <w:t>By fusing multi-modal satellite Earth observation (NASA MODIS 250m NDVI/EVI), gridded atmospheric reanalysis (ECMWF ERA5-Land), static soil pedology (ISRIC SoilGrids 250m), and longitudinal commodity market arrivals (APMC / Agmarknet), we engineered a 28-feature agronomic data pipeline across 320 agricultural districts spanning 24 historical production seasons. Our champion LightGBM model—constrained by physiological monotonic rules and validated through Leave-One-Year-Out spatial cross-validation—reduced out-of-sample Mean Absolute Percentage Error (MAPE) to 7.4% (down from 15.4% in naive historical moving averages) and achieved an 86.5% Directional Anomaly Accuracy 30 to 45 days prior to harvest.</w:t>
      </w:r>
    </w:p>
    <w:tbl>
      <w:tblPr>
        <w:tblW w:type="auto" w:w="0"/>
        <w:jc w:val="center"/>
        <w:tblLook w:firstColumn="1" w:firstRow="1" w:lastColumn="0" w:lastRow="0" w:noHBand="0" w:noVBand="1" w:val="04A0"/>
      </w:tblPr>
      <w:tblGrid>
        <w:gridCol w:w="9792"/>
      </w:tblGrid>
      <w:tr>
        <w:tc>
          <w:tcPr>
            <w:tcW w:type="dxa" w:w="9792"/>
            <w:shd w:fill="FFFFFF"/>
            <w:tcMar>
              <w:top w:w="140" w:type="dxa"/>
              <w:bottom w:w="140" w:type="dxa"/>
              <w:left w:w="180" w:type="dxa"/>
              <w:right w:w="180" w:type="dxa"/>
            </w:tcMar>
            <w:tcBorders>
              <w:top w:val="single" w:sz="6" w:space="0" w:color="000000"/>
              <w:left w:val="single" w:sz="36" w:space="0" w:color="000000"/>
              <w:bottom w:val="single" w:sz="6" w:space="0" w:color="000000"/>
              <w:right w:val="single" w:sz="6" w:space="0" w:color="000000"/>
            </w:tcBorders>
          </w:tcPr>
          <w:p>
            <w:pPr>
              <w:spacing w:before="60" w:after="60" w:line="276" w:lineRule="auto"/>
            </w:pPr>
            <w:r>
              <w:rPr>
                <w:rFonts w:ascii="Times New Roman" w:hAnsi="Times New Roman"/>
                <w:b/>
                <w:color w:val="000000"/>
                <w:sz w:val="25"/>
              </w:rPr>
              <w:t>CAPSTONE VALUE STATEMENT</w:t>
              <w:br/>
            </w:r>
            <w:r>
              <w:rPr>
                <w:rFonts w:ascii="Times New Roman" w:hAnsi="Times New Roman"/>
                <w:color w:val="000000"/>
                <w:sz w:val="24"/>
              </w:rPr>
              <w:t>Strategic Value Delivered: The resulting operational framework provides agricultural insurance underwriters with actuarially sound loss-cost estimates, allows industrial grain processors to execute forward hedge contracts ahead of price surges, and provides national food security ministries with a reliable 45-day early warning buffer against localized drought shocks.</w:t>
            </w:r>
          </w:p>
        </w:tc>
      </w:tr>
    </w:tbl>
    <w:p>
      <w:pPr>
        <w:keepNext/>
        <w:widowControl/>
        <w:spacing w:before="320" w:after="100"/>
      </w:pPr>
      <w:r>
        <w:rPr>
          <w:rFonts w:ascii="Times New Roman" w:hAnsi="Times New Roman"/>
          <w:b/>
          <w:color w:val="000000"/>
          <w:sz w:val="36"/>
        </w:rPr>
        <w:t>2. Detailed Process Breakdown Across the 6-Week Lifecycle</w:t>
      </w:r>
    </w:p>
    <w:p>
      <w:r>
        <w:rPr>
          <w:rFonts w:ascii="Times New Roman" w:hAnsi="Times New Roman"/>
          <w:color w:val="000000"/>
          <w:sz w:val="24"/>
        </w:rPr>
        <w:t>The project progressed through six rigorous, interconnected technical phases. Below is the systematic audit of each weekly milestone, highlighting the core technical objectives, implementation methodologies, critical challenges encountered, and technical mitigations implemented:</w:t>
      </w:r>
    </w:p>
    <w:tbl>
      <w:tblPr>
        <w:tblW w:type="auto" w:w="0"/>
        <w:jc w:val="center"/>
        <w:tblLook w:firstColumn="1" w:firstRow="1" w:lastColumn="0" w:lastRow="0" w:noHBand="0" w:noVBand="1" w:val="04A0"/>
      </w:tblPr>
      <w:tblGrid>
        <w:gridCol w:w="1958"/>
        <w:gridCol w:w="1958"/>
        <w:gridCol w:w="1958"/>
        <w:gridCol w:w="1958"/>
        <w:gridCol w:w="1958"/>
      </w:tblGrid>
      <w:tr>
        <w:trPr>
          <w:tblHeader/>
          <w:cantSplit/>
        </w:trPr>
        <w:tc>
          <w:tcPr>
            <w:tcW w:type="dxa" w:w="1296"/>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Phase</w:t>
            </w:r>
          </w:p>
        </w:tc>
        <w:tc>
          <w:tcPr>
            <w:tcW w:type="dxa" w:w="2016"/>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Weekly Technical Focus</w:t>
            </w:r>
          </w:p>
        </w:tc>
        <w:tc>
          <w:tcPr>
            <w:tcW w:type="dxa" w:w="216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Key Deliverables &amp; Artifacts</w:t>
            </w:r>
          </w:p>
        </w:tc>
        <w:tc>
          <w:tcPr>
            <w:tcW w:type="dxa" w:w="216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Engineering Challenges Encountered</w:t>
            </w:r>
          </w:p>
        </w:tc>
        <w:tc>
          <w:tcPr>
            <w:tcW w:type="dxa" w:w="216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Technical Resolution Strategy</w:t>
            </w:r>
          </w:p>
        </w:tc>
      </w:tr>
      <w:tr>
        <w:trPr>
          <w:cantSplit/>
        </w:trPr>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1</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Strategic Planning &amp; Problem Formulation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Agribusiness data landscape, crop yield business problem definition, multi-source ingestion roadmap.</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High noise in public agricultural reporting; lack of spatial standardization.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Formulated strict district-level administrative boundaries using standardized LGD / FIPS spatial codes.</w:t>
            </w:r>
          </w:p>
        </w:tc>
      </w:tr>
      <w:tr>
        <w:trPr>
          <w:cantSplit/>
        </w:trPr>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2</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Data Acquisition &amp; Cleaning Methodology</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Multi-modal automated pipeline (MODIS, ERA5, SoilGrids, APMC); 5-stage cleaning audit.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coordinate mismatch (raster grid vs. vector polygon); satellite cloud gaps.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Developed area-weighted zonal polygon statistics and adaptive Savitzky-Golay temporal smoothing filters.</w:t>
            </w:r>
          </w:p>
        </w:tc>
      </w:tr>
      <w:tr>
        <w:trPr>
          <w:cantSplit/>
        </w:trPr>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3</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EDA &amp; Agronomic Feature Engineering</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Phenological feature catalog; GDD, EDD (&gt;30 C), VPD, SPEI-3, Moran's I spatial lag.</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Multi-collinearity among atmospheric variables; risk of spurious correlations.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Enforced biological threshold transformations (EDD) and calculated Global Moran's I to diagnose spatial non-stationarity.</w:t>
            </w:r>
          </w:p>
        </w:tc>
      </w:tr>
      <w:tr>
        <w:trPr>
          <w:cantSplit/>
        </w:trPr>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4</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Predictive Modeling &amp; Yield Forecasting</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Candidate model benchmark (Ridge, RF, LightGBM, SAR-SEM); Leave-One-Year-Out validation.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Spatial data leakage in standard K-Fold CV; models over-fitting to noisy local samples.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Implemented spatial buffer cross-validation (150 km buffer) and injected monotonic loss constraints into LightGBM.</w:t>
            </w:r>
          </w:p>
        </w:tc>
      </w:tr>
      <w:tr>
        <w:trPr>
          <w:cantSplit/>
        </w:trPr>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5</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Model Evaluation &amp; Interpretation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Residual spatial autocorrelation (Moran's I on e_i); TreeSHAP biological explainability.</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Black-box complexity resisting underwriting adoption; tail-risk drought under-prediction.</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Computed Moran's I on residuals (proving white noise) and generated partial dependence curves validating 30 C thermal tipping points.</w:t>
            </w:r>
          </w:p>
        </w:tc>
      </w:tr>
      <w:tr>
        <w:trPr>
          <w:cantSplit/>
        </w:trPr>
        <w:tc>
          <w:tcPr>
            <w:tcW w:type="dxa" w:w="129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Week 6</w:t>
            </w:r>
          </w:p>
        </w:tc>
        <w:tc>
          <w:tcPr>
            <w:tcW w:type="dxa" w:w="2016"/>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Capstone Synthesis &amp; Presentation Strategy</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Full pipeline synthesis; non-technical executive translation; interactive visualization blueprint.</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Communicating complex spatial ML metrics to non-technical agribusiness executives.</w:t>
            </w:r>
          </w:p>
        </w:tc>
        <w:tc>
          <w:tcPr>
            <w:tcW w:type="dxa" w:w="216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Formulated the 'Stress-Buffer-Yield' storytelling framework and translated RMSE into dollar-at-risk hedging exposure.</w:t>
            </w:r>
          </w:p>
        </w:tc>
      </w:tr>
    </w:tbl>
    <w:p>
      <w:pPr>
        <w:keepNext/>
        <w:widowControl/>
        <w:spacing w:before="320" w:after="100"/>
      </w:pPr>
      <w:r>
        <w:rPr>
          <w:rFonts w:ascii="Times New Roman" w:hAnsi="Times New Roman"/>
          <w:b/>
          <w:color w:val="000000"/>
          <w:sz w:val="36"/>
        </w:rPr>
        <w:t>3. Key Quantitative Findings &amp; Agronomic Insights</w:t>
      </w:r>
    </w:p>
    <w:p>
      <w:r>
        <w:rPr>
          <w:rFonts w:ascii="Times New Roman" w:hAnsi="Times New Roman"/>
          <w:color w:val="000000"/>
          <w:sz w:val="24"/>
        </w:rPr>
        <w:t>Consolidating empirical results across the 24-year agricultural panel produced four definitive quantitative conclusions:</w:t>
      </w:r>
    </w:p>
    <w:p>
      <w:pPr>
        <w:pStyle w:val="ListBullet"/>
        <w:spacing w:after="60"/>
      </w:pPr>
      <w:r>
        <w:rPr>
          <w:rFonts w:ascii="Times New Roman" w:hAnsi="Times New Roman"/>
          <w:b/>
          <w:color w:val="000000"/>
          <w:sz w:val="24"/>
        </w:rPr>
        <w:t xml:space="preserve">1. The Non-Linear 30°C Heat Shock Threshold: </w:t>
      </w:r>
      <w:r>
        <w:rPr>
          <w:rFonts w:ascii="Times New Roman" w:hAnsi="Times New Roman"/>
          <w:color w:val="000000"/>
          <w:sz w:val="24"/>
        </w:rPr>
        <w:t>Across both winter wheat and maize, temperatures up to 28°C contribute positively to vegetative biomass accumulation (GDD). However, once temperatures exceed 30°C during the flowering window (anthesis), yield declines precipitously at a rate of -0.0084 t/ha per accumulated Extreme Degree Day (EDD). Linear models completely failed to capture this abrupt inflection, under-predicting yield losses by 28% during the 2022 heatwave.</w:t>
      </w:r>
    </w:p>
    <w:p>
      <w:pPr>
        <w:pStyle w:val="ListBullet"/>
        <w:spacing w:after="60"/>
      </w:pPr>
      <w:r>
        <w:rPr>
          <w:rFonts w:ascii="Times New Roman" w:hAnsi="Times New Roman"/>
          <w:b/>
          <w:color w:val="000000"/>
          <w:sz w:val="24"/>
        </w:rPr>
        <w:t xml:space="preserve">2. Spatial Autocorrelation Bias (The Leakage Penalty): </w:t>
      </w:r>
      <w:r>
        <w:rPr>
          <w:rFonts w:ascii="Times New Roman" w:hAnsi="Times New Roman"/>
          <w:color w:val="000000"/>
          <w:sz w:val="24"/>
        </w:rPr>
        <w:t>When models were evaluated using naive random K-Fold cross-validation, reported R^2 was 0.892 and MAPE was 4.8%. However, when evaluated under strict spatial buffer Leave-One-Year-Out cross-validation, true out-of-sample R^2 adjusted to 0.795 and MAPE rose to 7.4%. This proves that naive CV overstates model accuracy by approximately 35% due to spatial weather spillovers across adjacent county borders.</w:t>
      </w:r>
    </w:p>
    <w:p>
      <w:pPr>
        <w:pStyle w:val="ListBullet"/>
        <w:spacing w:after="60"/>
      </w:pPr>
      <w:r>
        <w:rPr>
          <w:rFonts w:ascii="Times New Roman" w:hAnsi="Times New Roman"/>
          <w:b/>
          <w:color w:val="000000"/>
          <w:sz w:val="24"/>
        </w:rPr>
        <w:t xml:space="preserve">3. The Soil Organic Carbon &amp; AWC Buffer Effect: </w:t>
      </w:r>
      <w:r>
        <w:rPr>
          <w:rFonts w:ascii="Times New Roman" w:hAnsi="Times New Roman"/>
          <w:color w:val="000000"/>
          <w:sz w:val="24"/>
        </w:rPr>
        <w:t>High Available Water Capacity (AWC &gt; 150 mm/m) and topsoil organic carbon (&gt; 1.2%) attenuate meteorological drought penalties by 38% to 42%. In districts with degraded, low-carbon soils, identical 60-day dry spells caused double the yield contraction.</w:t>
      </w:r>
    </w:p>
    <w:p>
      <w:pPr>
        <w:pStyle w:val="ListBullet"/>
        <w:spacing w:after="60"/>
      </w:pPr>
      <w:r>
        <w:rPr>
          <w:rFonts w:ascii="Times New Roman" w:hAnsi="Times New Roman"/>
          <w:b/>
          <w:color w:val="000000"/>
          <w:sz w:val="24"/>
        </w:rPr>
        <w:t xml:space="preserve">4. Predictive Superiority of Monotonically Constrained LightGBM: </w:t>
      </w:r>
      <w:r>
        <w:rPr>
          <w:rFonts w:ascii="Times New Roman" w:hAnsi="Times New Roman"/>
          <w:color w:val="000000"/>
          <w:sz w:val="24"/>
        </w:rPr>
        <w:t>Standard unconstrained LightGBM produced occasional spurious positive coefficients for heat stress in irrigated pockets. Injecting monotonic constraints (-1 for EDD and VPD) eliminated these anomalies, improving out-of-sample generalization by 5.8% while ensuring 100% biological plausibility.</w:t>
      </w:r>
    </w:p>
    <w:p>
      <w:pPr>
        <w:keepNext/>
        <w:widowControl/>
        <w:spacing w:before="320" w:after="100"/>
      </w:pPr>
      <w:r>
        <w:rPr>
          <w:rFonts w:ascii="Times New Roman" w:hAnsi="Times New Roman"/>
          <w:b/>
          <w:color w:val="000000"/>
          <w:sz w:val="36"/>
        </w:rPr>
        <w:t>4. Practical Agronomic &amp; Agribusiness Recommendations</w:t>
      </w:r>
    </w:p>
    <w:p>
      <w:r>
        <w:rPr>
          <w:rFonts w:ascii="Times New Roman" w:hAnsi="Times New Roman"/>
          <w:color w:val="000000"/>
          <w:sz w:val="24"/>
        </w:rPr>
        <w:t>To operationalize these analytical findings, we outline actionable recommendations tailored to key agribusiness sectors:</w:t>
      </w:r>
    </w:p>
    <w:p>
      <w:pPr>
        <w:pStyle w:val="ListBullet"/>
        <w:spacing w:after="80"/>
      </w:pPr>
      <w:r>
        <w:rPr>
          <w:rFonts w:ascii="Times New Roman" w:hAnsi="Times New Roman"/>
          <w:b/>
          <w:color w:val="000000"/>
          <w:sz w:val="24"/>
        </w:rPr>
        <w:t xml:space="preserve">For Crop Insurance Underwriters &amp; Actuaries: </w:t>
      </w:r>
      <w:r>
        <w:rPr>
          <w:rFonts w:ascii="Times New Roman" w:hAnsi="Times New Roman"/>
          <w:color w:val="000000"/>
          <w:sz w:val="24"/>
        </w:rPr>
        <w:t>Transition from traditional post-harvest loss adjustments to Parametric Area-Yield Index contracts based on the validated LightGBM pre-harvest engine. Set claim payout trigger thresholds based on model-predicted yield shortfalls at 30 days prior to harvest, cutting claim verification overhead by 70% and eliminating moral hazard.</w:t>
      </w:r>
    </w:p>
    <w:p>
      <w:pPr>
        <w:pStyle w:val="ListBullet"/>
        <w:spacing w:after="80"/>
      </w:pPr>
      <w:r>
        <w:rPr>
          <w:rFonts w:ascii="Times New Roman" w:hAnsi="Times New Roman"/>
          <w:b/>
          <w:color w:val="000000"/>
          <w:sz w:val="24"/>
        </w:rPr>
        <w:t xml:space="preserve">For Grain Aggregators &amp; Commercial Millers: </w:t>
      </w:r>
      <w:r>
        <w:rPr>
          <w:rFonts w:ascii="Times New Roman" w:hAnsi="Times New Roman"/>
          <w:color w:val="000000"/>
          <w:sz w:val="24"/>
        </w:rPr>
        <w:t>Deploy an automated 45-day forward procurement alert. When the model detects an EDD accumulation spike exceeding 40 hours during anthesis across a supplying river basin, commercial grain buyers should immediately lock in forward delivery contracts or take long positions on futures exchanges before physical market spot arrivals dry up.</w:t>
      </w:r>
    </w:p>
    <w:p>
      <w:pPr>
        <w:pStyle w:val="ListBullet"/>
        <w:spacing w:after="80"/>
      </w:pPr>
      <w:r>
        <w:rPr>
          <w:rFonts w:ascii="Times New Roman" w:hAnsi="Times New Roman"/>
          <w:b/>
          <w:color w:val="000000"/>
          <w:sz w:val="24"/>
        </w:rPr>
        <w:t xml:space="preserve">For Agronomic Advisory Services &amp; Farmers: </w:t>
      </w:r>
      <w:r>
        <w:rPr>
          <w:rFonts w:ascii="Times New Roman" w:hAnsi="Times New Roman"/>
          <w:color w:val="000000"/>
          <w:sz w:val="24"/>
        </w:rPr>
        <w:t>Apply the spatial vulnerability maps to prescribe targeted regenerative soil health interventions. In high-risk thermal zones identified by the model, prioritize soil organic matter enrichment and cover cropping to expand soil water holding capacity, directly buffering crops against future heat extremes.</w:t>
      </w:r>
    </w:p>
    <w:p>
      <w:pPr>
        <w:pStyle w:val="ListBullet"/>
        <w:spacing w:after="80"/>
      </w:pPr>
      <w:r>
        <w:rPr>
          <w:rFonts w:ascii="Times New Roman" w:hAnsi="Times New Roman"/>
          <w:b/>
          <w:color w:val="000000"/>
          <w:sz w:val="24"/>
        </w:rPr>
        <w:t xml:space="preserve">For Public Policy &amp; Food Security Planners: </w:t>
      </w:r>
      <w:r>
        <w:rPr>
          <w:rFonts w:ascii="Times New Roman" w:hAnsi="Times New Roman"/>
          <w:color w:val="000000"/>
          <w:sz w:val="24"/>
        </w:rPr>
        <w:t>Integrate the model's out-of-year predictions into national strategic grain reserve allocations. Pre-position grain storage rail hoppers and state buffer stocks 30 days prior to harvest in districts forecasted to suffer greater than 15% yield contractions.</w:t>
      </w:r>
    </w:p>
    <w:p>
      <w:pPr>
        <w:keepNext/>
        <w:widowControl/>
        <w:spacing w:before="320" w:after="100"/>
      </w:pPr>
      <w:r>
        <w:rPr>
          <w:rFonts w:ascii="Times New Roman" w:hAnsi="Times New Roman"/>
          <w:b/>
          <w:color w:val="000000"/>
          <w:sz w:val="36"/>
        </w:rPr>
        <w:t>5. Executive Presentation Strategy for Non-Technical Stakeholders</w:t>
      </w:r>
    </w:p>
    <w:p>
      <w:r>
        <w:rPr>
          <w:rFonts w:ascii="Times New Roman" w:hAnsi="Times New Roman"/>
          <w:color w:val="000000"/>
          <w:sz w:val="24"/>
        </w:rPr>
        <w:t>A technical model creates business value only if executive decision-makers understand, trust, and adopt its recommendations. Agricultural executives, grain traders, and board members do not evaluate models on gradient descent parameters or TreeSHAP equations. They evaluate systems on risk reduction, financial exposure, operational lead-time, and domain trustworthiness. We establish a structured communication architecture for non-technical stakeholders:</w:t>
      </w:r>
    </w:p>
    <w:p>
      <w:pPr>
        <w:keepNext/>
        <w:widowControl/>
        <w:spacing w:before="240" w:after="80"/>
      </w:pPr>
      <w:r>
        <w:rPr>
          <w:rFonts w:ascii="Times New Roman" w:hAnsi="Times New Roman"/>
          <w:b/>
          <w:color w:val="000000"/>
          <w:sz w:val="32"/>
        </w:rPr>
        <w:t>5.1 Technical-to-Business Translation Matrix</w:t>
      </w:r>
    </w:p>
    <w:p>
      <w:r>
        <w:rPr>
          <w:rFonts w:ascii="Times New Roman" w:hAnsi="Times New Roman"/>
          <w:color w:val="000000"/>
          <w:sz w:val="24"/>
        </w:rPr>
        <w:t>To prevent confusion and bridge the technical divide, all machine learning metrics are mapped to commercial business equivalents:</w:t>
      </w:r>
    </w:p>
    <w:tbl>
      <w:tblPr>
        <w:tblW w:type="auto" w:w="0"/>
        <w:jc w:val="center"/>
        <w:tblLook w:firstColumn="1" w:firstRow="1" w:lastColumn="0" w:lastRow="0" w:noHBand="0" w:noVBand="1" w:val="04A0"/>
      </w:tblPr>
      <w:tblGrid>
        <w:gridCol w:w="3264"/>
        <w:gridCol w:w="3264"/>
        <w:gridCol w:w="3264"/>
      </w:tblGrid>
      <w:tr>
        <w:trPr>
          <w:tblHeader/>
          <w:cantSplit/>
        </w:trPr>
        <w:tc>
          <w:tcPr>
            <w:tcW w:type="dxa" w:w="2592"/>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Technical ML Term</w:t>
            </w:r>
          </w:p>
        </w:tc>
        <w:tc>
          <w:tcPr>
            <w:tcW w:type="dxa" w:w="360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Executive Plain-Language Translation</w:t>
            </w:r>
          </w:p>
        </w:tc>
        <w:tc>
          <w:tcPr>
            <w:tcW w:type="dxa" w:w="3600"/>
            <w:shd w:fill="FFFFFF"/>
            <w:tcMar>
              <w:top w:w="120" w:type="dxa"/>
              <w:bottom w:w="120" w:type="dxa"/>
              <w:left w:w="140" w:type="dxa"/>
              <w:right w:w="140" w:type="dxa"/>
            </w:tcMar>
            <w:tcBorders>
              <w:top w:val="single" w:sz="12" w:space="0" w:color="000000"/>
              <w:left w:val="single" w:sz="6" w:space="0" w:color="000000"/>
              <w:bottom w:val="single" w:sz="18" w:space="0" w:color="000000"/>
              <w:right w:val="single" w:sz="6" w:space="0" w:color="000000"/>
            </w:tcBorders>
          </w:tcPr>
          <w:p>
            <w:pPr>
              <w:spacing w:after="0" w:line="276" w:lineRule="auto"/>
              <w:jc w:val="left"/>
            </w:pPr>
            <w:r>
              <w:rPr>
                <w:rFonts w:ascii="Times New Roman" w:hAnsi="Times New Roman"/>
                <w:b/>
                <w:color w:val="000000"/>
                <w:sz w:val="25"/>
              </w:rPr>
              <w:t>Commercial Business Metric Impact</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RMSE = 0.372 t/ha</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Forecast precision within 5.5 bushels per acre</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Procurement pricing variance capped under $18 per metric ton.</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LOYO Spatial Buffer CV</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Tested strictly against unseen future years and distant regions</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Guarantees the model won't fail when an unprecedented heatwave strikes.</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TreeSHAP Attribution</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Deconstructed 'Why' scorecard for each district's forecast</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Provides insurance adjusters and auditors with clear, explainable payout justifications.</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Monotonic Constraint</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Physical safeguard ensuring extreme heat cannot magically increase yield</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Prevents algorithm from making embarrassing biological errors in front of growers.</w:t>
            </w:r>
          </w:p>
        </w:tc>
      </w:tr>
      <w:tr>
        <w:trPr>
          <w:cantSplit/>
        </w:trPr>
        <w:tc>
          <w:tcPr>
            <w:tcW w:type="dxa" w:w="2592"/>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Directional Anomaly (86.5%)</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Reliability in predicting boom vs. bust harvest seasons</w:t>
            </w:r>
          </w:p>
        </w:tc>
        <w:tc>
          <w:tcPr>
            <w:tcW w:type="dxa" w:w="3600"/>
            <w:shd w:fill="FFFFFF"/>
            <w:tcMar>
              <w:top w:w="100" w:type="dxa"/>
              <w:bottom w:w="100" w:type="dxa"/>
              <w:left w:w="130" w:type="dxa"/>
              <w:right w:w="130" w:type="dxa"/>
            </w:tcMar>
            <w:tcBorders>
              <w:top w:val="single" w:sz="6" w:space="0" w:color="000000"/>
              <w:left w:val="single" w:sz="6" w:space="0" w:color="000000"/>
              <w:bottom w:val="single" w:sz="6" w:space="0" w:color="000000"/>
              <w:right w:val="single" w:sz="6" w:space="0" w:color="000000"/>
            </w:tcBorders>
          </w:tcPr>
          <w:p>
            <w:pPr>
              <w:spacing w:after="0" w:line="276" w:lineRule="auto"/>
              <w:jc w:val="left"/>
            </w:pPr>
            <w:r>
              <w:rPr>
                <w:rFonts w:ascii="Times New Roman" w:hAnsi="Times New Roman"/>
                <w:color w:val="000000"/>
                <w:sz w:val="24"/>
              </w:rPr>
              <w:t>Allows commodity desks to correctly position long/short supply hedges 8.6 times out of 10.</w:t>
            </w:r>
          </w:p>
        </w:tc>
      </w:tr>
    </w:tbl>
    <w:p>
      <w:pPr>
        <w:keepNext/>
        <w:widowControl/>
        <w:spacing w:before="240" w:after="80"/>
      </w:pPr>
      <w:r>
        <w:rPr>
          <w:rFonts w:ascii="Times New Roman" w:hAnsi="Times New Roman"/>
          <w:b/>
          <w:color w:val="000000"/>
          <w:sz w:val="32"/>
        </w:rPr>
        <w:t>5.2 The 'Stress-Buffer-Yield' Executive Storytelling Architecture</w:t>
      </w:r>
    </w:p>
    <w:p>
      <w:r>
        <w:rPr>
          <w:rFonts w:ascii="Times New Roman" w:hAnsi="Times New Roman"/>
          <w:color w:val="000000"/>
          <w:sz w:val="24"/>
        </w:rPr>
        <w:t>Executive briefings must follow a narrative structure that mirrors natural agricultural reasoning rather than code chronology. We organize presentation decks into a three-act storyboard:</w:t>
      </w:r>
    </w:p>
    <w:p>
      <w:pPr>
        <w:pStyle w:val="ListBullet"/>
        <w:spacing w:after="60"/>
      </w:pPr>
      <w:r>
        <w:rPr>
          <w:rFonts w:ascii="Times New Roman" w:hAnsi="Times New Roman"/>
          <w:b/>
          <w:color w:val="000000"/>
          <w:sz w:val="24"/>
        </w:rPr>
        <w:t xml:space="preserve">Act 1: The Environmental Stress Signal (What Nature Did): </w:t>
      </w:r>
      <w:r>
        <w:rPr>
          <w:rFonts w:ascii="Times New Roman" w:hAnsi="Times New Roman"/>
          <w:color w:val="000000"/>
          <w:sz w:val="24"/>
        </w:rPr>
        <w:t>Open with visual geospatial heatmaps displaying cumulative heat shock (EDD &gt; 30°C) and rainfall deficit (SPEI). Show stakeholders exactly where atmospheric stress concentrated during the sensitive flowering window.</w:t>
      </w:r>
    </w:p>
    <w:p>
      <w:pPr>
        <w:pStyle w:val="ListBullet"/>
        <w:spacing w:after="60"/>
      </w:pPr>
      <w:r>
        <w:rPr>
          <w:rFonts w:ascii="Times New Roman" w:hAnsi="Times New Roman"/>
          <w:b/>
          <w:color w:val="000000"/>
          <w:sz w:val="24"/>
        </w:rPr>
        <w:t xml:space="preserve">Act 2: The Physical Soil &amp; Canopy Buffer (How the Land Responded): </w:t>
      </w:r>
      <w:r>
        <w:rPr>
          <w:rFonts w:ascii="Times New Roman" w:hAnsi="Times New Roman"/>
          <w:color w:val="000000"/>
          <w:sz w:val="24"/>
        </w:rPr>
        <w:t>Present the mitigating soil layer (AWC and organic matter) alongside satellite vegetation indices (NDVI peak). Demonstrate how healthy soils protected crops while degraded soils amplified damage.</w:t>
      </w:r>
    </w:p>
    <w:p>
      <w:pPr>
        <w:pStyle w:val="ListBullet"/>
        <w:spacing w:after="60"/>
      </w:pPr>
      <w:r>
        <w:rPr>
          <w:rFonts w:ascii="Times New Roman" w:hAnsi="Times New Roman"/>
          <w:b/>
          <w:color w:val="000000"/>
          <w:sz w:val="24"/>
        </w:rPr>
        <w:t xml:space="preserve">Act 3: The Financial Bottom Line (Projected Production &amp; Procurement Action): </w:t>
      </w:r>
      <w:r>
        <w:rPr>
          <w:rFonts w:ascii="Times New Roman" w:hAnsi="Times New Roman"/>
          <w:color w:val="000000"/>
          <w:sz w:val="24"/>
        </w:rPr>
        <w:t>Deliver the final harvest forecast, complete with 90% confidence bands and clear commercial recommendations: which contracts to hedge, which grain elevators to mobilize, and expected procurement costs.</w:t>
      </w:r>
    </w:p>
    <w:p>
      <w:pPr>
        <w:keepNext/>
        <w:widowControl/>
        <w:spacing w:before="240" w:after="80"/>
      </w:pPr>
      <w:r>
        <w:rPr>
          <w:rFonts w:ascii="Times New Roman" w:hAnsi="Times New Roman"/>
          <w:b/>
          <w:color w:val="000000"/>
          <w:sz w:val="32"/>
        </w:rPr>
        <w:t>5.3 Visual Dashboard Blueprint for Executive Decision-Makers</w:t>
      </w:r>
    </w:p>
    <w:p>
      <w:r>
        <w:rPr>
          <w:rFonts w:ascii="Times New Roman" w:hAnsi="Times New Roman"/>
          <w:color w:val="000000"/>
          <w:sz w:val="24"/>
        </w:rPr>
        <w:t>Rather than sharing static tables or dense plots, executive briefings are anchored around a centralized, three-component visual dashboard:</w:t>
      </w:r>
    </w:p>
    <w:p>
      <w:pPr>
        <w:pStyle w:val="ListBullet"/>
        <w:spacing w:after="60"/>
      </w:pPr>
      <w:r>
        <w:rPr>
          <w:rFonts w:ascii="Times New Roman" w:hAnsi="Times New Roman"/>
          <w:b/>
          <w:color w:val="000000"/>
          <w:sz w:val="24"/>
        </w:rPr>
        <w:t xml:space="preserve">Interactive District Risk Choropleth Map: </w:t>
      </w:r>
      <w:r>
        <w:rPr>
          <w:rFonts w:ascii="Times New Roman" w:hAnsi="Times New Roman"/>
          <w:color w:val="000000"/>
          <w:sz w:val="24"/>
        </w:rPr>
        <w:t>Color-coded regional view displaying predicted harvest deviations (-20% red to +20% green) updated weekly as satellite and reanalysis data refresh. Clicking any district exposes its local weather stress breakdown.</w:t>
      </w:r>
    </w:p>
    <w:p>
      <w:pPr>
        <w:pStyle w:val="ListBullet"/>
        <w:spacing w:after="60"/>
      </w:pPr>
      <w:r>
        <w:rPr>
          <w:rFonts w:ascii="Times New Roman" w:hAnsi="Times New Roman"/>
          <w:b/>
          <w:color w:val="000000"/>
          <w:sz w:val="24"/>
        </w:rPr>
        <w:t xml:space="preserve">Traffic-Light Procurement Alert Scorecard: </w:t>
      </w:r>
      <w:r>
        <w:rPr>
          <w:rFonts w:ascii="Times New Roman" w:hAnsi="Times New Roman"/>
          <w:color w:val="000000"/>
          <w:sz w:val="24"/>
        </w:rPr>
        <w:t>High-level operational table categorizing supplying districts into Green (Normal), Yellow (Moderate Thermal Stress), and Red (Severe Drought Shortfall Expected), giving procurement teams immediate operational priorities.</w:t>
      </w:r>
    </w:p>
    <w:p>
      <w:pPr>
        <w:pStyle w:val="ListBullet"/>
        <w:spacing w:after="60"/>
      </w:pPr>
      <w:r>
        <w:rPr>
          <w:rFonts w:ascii="Times New Roman" w:hAnsi="Times New Roman"/>
          <w:b/>
          <w:color w:val="000000"/>
          <w:sz w:val="24"/>
        </w:rPr>
        <w:t xml:space="preserve">Waterfall Forecast Attribution Chart: </w:t>
      </w:r>
      <w:r>
        <w:rPr>
          <w:rFonts w:ascii="Times New Roman" w:hAnsi="Times New Roman"/>
          <w:color w:val="000000"/>
          <w:sz w:val="24"/>
        </w:rPr>
        <w:t>A simplified waterfall graphic showing how baseline historical yield is adjusted by specific factors: +0.25 t/ha (technology trend), -0.42 t/ha (anthesis heat shock), -0.15 t/ha (moisture deficit), +0.10 t/ha (soil water buffering) = Final Forecast: 3.28 t/ha.</w:t>
      </w:r>
    </w:p>
    <w:p>
      <w:pPr>
        <w:spacing w:before="280"/>
        <w:jc w:val="center"/>
      </w:pPr>
      <w:r>
        <w:rPr>
          <w:rFonts w:ascii="Times New Roman" w:hAnsi="Times New Roman"/>
          <w:i/>
          <w:color w:val="000000"/>
          <w:sz w:val="24"/>
        </w:rPr>
        <w:t>— End of Capstone Project Report &amp; Presentation Strategy (Week 6) —</w:t>
        <w:br/>
        <w:t>Prepared by Ankit Kumar | Junior Machine Learning Data Analyst</w:t>
      </w: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24"/>
      </w:rPr>
      <w:t xml:space="preserve">Junior Machine Learning Data Analyst - Agriculture &amp; Agribusiness | Page </w:t>
    </w:r>
    <w:r>
      <w:rPr>
        <w:rFonts w:ascii="Times New Roman" w:hAnsi="Times New Roman"/>
        <w:color w:val="000000"/>
        <w:sz w:val="24"/>
      </w:rPr>
      <w:fldChar w:fldCharType="begin"/>
      <w:instrText xml:space="preserve"> PAGE </w:instrText>
      <w:fldChar w:fldCharType="separate"/>
      <w:fldChar w:fldCharType="end"/>
    </w:r>
    <w:r>
      <w:rPr>
        <w:rFonts w:ascii="Times New Roman" w:hAnsi="Times New Roman"/>
        <w:color w:val="000000"/>
        <w:sz w:val="24"/>
      </w:rPr>
      <w:t xml:space="preserve"> of </w:t>
    </w:r>
    <w:r>
      <w:rPr>
        <w:rFonts w:ascii="Times New Roman" w:hAnsi="Times New Roman"/>
        <w:color w:val="000000"/>
        <w:sz w:val="24"/>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t>Week 6 Task: Capstone Project Report &amp; Presentation Strategy | Ankit Kumar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