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DELIVERABLE — WEEK 1</w:t>
      </w:r>
    </w:p>
    <w:p>
      <w:pPr>
        <w:keepNext/>
        <w:spacing w:before="40" w:after="80"/>
      </w:pPr>
      <w:r>
        <w:rPr>
          <w:rFonts w:ascii="Times New Roman" w:hAnsi="Times New Roman"/>
          <w:b/>
          <w:color w:val="000000"/>
          <w:sz w:val="40"/>
        </w:rPr>
        <w:t>Strategic Planning and Data Problem Definition in Agricultural Analytics</w:t>
      </w:r>
    </w:p>
    <w:p>
      <w:pPr>
        <w:keepNext/>
        <w:spacing w:after="120"/>
      </w:pPr>
      <w:r>
        <w:rPr>
          <w:rFonts w:ascii="Times New Roman" w:hAnsi="Times New Roman"/>
          <w:i/>
          <w:color w:val="000000"/>
          <w:sz w:val="26"/>
        </w:rPr>
        <w:t>Foundational Machine Learning Blueprint for Agribusiness Decision Support Systems</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1 Strategic Blueprint (W1)</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Core Domains: </w:t>
            </w:r>
            <w:r>
              <w:rPr>
                <w:rFonts w:ascii="Times New Roman" w:hAnsi="Times New Roman"/>
                <w:color w:val="000000"/>
                <w:sz w:val="26"/>
              </w:rPr>
              <w:t>Yield Prediction, Soil Health, Market Dynamics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Architecture</w:t>
            </w:r>
          </w:p>
        </w:tc>
      </w:tr>
    </w:tbl>
    <w:p>
      <w:pPr>
        <w:keepNext/>
        <w:widowControl/>
        <w:spacing w:before="320" w:after="100"/>
      </w:pPr>
      <w:r>
        <w:rPr>
          <w:rFonts w:ascii="Times New Roman" w:hAnsi="Times New Roman"/>
          <w:b/>
          <w:color w:val="000000"/>
          <w:sz w:val="36"/>
        </w:rPr>
        <w:t>1. Executive Summary &amp; Industry Context</w:t>
      </w:r>
    </w:p>
    <w:p>
      <w:r>
        <w:rPr>
          <w:rFonts w:ascii="Times New Roman" w:hAnsi="Times New Roman"/>
          <w:color w:val="000000"/>
          <w:sz w:val="24"/>
        </w:rPr>
        <w:t>Modern agriculture operates under unprecedented pressure: global supply chains face extreme meteorological instability, input fertilizer costs have fluctuated by over 60% since 2021, and arable topsoil degradation threatens long-term food security. Agribusiness enterprises—including grain aggregators, agricultural credit lenders, crop insurers, and input manufacturers—require accurate, data-driven forecasting to protect operating margins and de-risk lending portfolios.</w:t>
      </w:r>
    </w:p>
    <w:p>
      <w:r>
        <w:rPr>
          <w:rFonts w:ascii="Times New Roman" w:hAnsi="Times New Roman"/>
          <w:color w:val="000000"/>
          <w:sz w:val="24"/>
        </w:rPr>
        <w:t>Machine learning provides the mathematical framework to transform fragmented environmental signals into predictive intelligence. However, applying ML to agriculture fails when projects treat agricultural datasets as static, independent-and-identically-distributed (i.i.d.) tables. Agricultural systems are governed by biological non-linearities, spatial autocorrelation across soils, and temporal lags across plant growth stages. This strategic blueprint establishes the foundational business questions, technical problem definitions, and architectural roadmap required to execute machine learning solutions across the agribusiness lifecycle.</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EXECUTIVE BLUEPRINT PRINCIPLE</w:t>
              <w:br/>
            </w:r>
            <w:r>
              <w:rPr>
                <w:rFonts w:ascii="Times New Roman" w:hAnsi="Times New Roman"/>
                <w:color w:val="000000"/>
                <w:sz w:val="24"/>
              </w:rPr>
              <w:t>Agricultural ML initiatives succeed only when business objectives dictate technical metrics. Predicting crop yields with an RMSE below 0.8 MT/Ha enables insurers to settle index claims without manual field adjustments, while forecasting wholesale price drops 7 days in advance protects cold-storage facility margins.</w:t>
            </w:r>
          </w:p>
        </w:tc>
      </w:tr>
    </w:tbl>
    <w:p>
      <w:pPr>
        <w:keepNext/>
        <w:widowControl/>
        <w:spacing w:before="320" w:after="100"/>
      </w:pPr>
      <w:r>
        <w:rPr>
          <w:rFonts w:ascii="Times New Roman" w:hAnsi="Times New Roman"/>
          <w:b/>
          <w:color w:val="000000"/>
          <w:sz w:val="36"/>
        </w:rPr>
        <w:t>2. Core Agribusiness Problem Statements</w:t>
      </w:r>
    </w:p>
    <w:p>
      <w:pPr>
        <w:keepNext/>
      </w:pPr>
      <w:r>
        <w:rPr>
          <w:rFonts w:ascii="Times New Roman" w:hAnsi="Times New Roman"/>
          <w:color w:val="000000"/>
          <w:sz w:val="24"/>
        </w:rPr>
        <w:t>To achieve maximum commercial and agronomic impact, machine learning efforts must focus on specific operational bottlenecks where historical heuristic methods produce unacceptable error rates. Below are the three primary business problems selected for technical modeling in this internship track.</w:t>
      </w:r>
    </w:p>
    <w:p>
      <w:pPr>
        <w:keepNext/>
        <w:widowControl/>
        <w:spacing w:before="240" w:after="80"/>
      </w:pPr>
      <w:r>
        <w:rPr>
          <w:rFonts w:ascii="Times New Roman" w:hAnsi="Times New Roman"/>
          <w:b/>
          <w:color w:val="000000"/>
          <w:sz w:val="32"/>
        </w:rPr>
        <w:t>2.1 Problem 1: In-Season Regional Crop Yield Forecasting Under Climate Volatility</w:t>
      </w:r>
    </w:p>
    <w:p>
      <w:pPr>
        <w:keepNext/>
      </w:pPr>
      <w:r>
        <w:rPr>
          <w:rFonts w:ascii="Times New Roman" w:hAnsi="Times New Roman"/>
          <w:color w:val="000000"/>
          <w:sz w:val="24"/>
        </w:rPr>
        <w:t>Business Context: Grain elevators, food processing conglomerates, and commodity traders rely on accurate pre-harvest production estimates to manage procurement hedges, charter freight vessels, and set forward contract prices. Traditional crop cutting experiments (CCEs) and post-harvest government statistical surveys publish too late in the fiscal cycle to guide operational decisions.</w:t>
      </w:r>
    </w:p>
    <w:p>
      <w:pPr>
        <w:pStyle w:val="ListBullet"/>
        <w:spacing w:after="60"/>
      </w:pPr>
      <w:r>
        <w:rPr>
          <w:rFonts w:ascii="Times New Roman" w:hAnsi="Times New Roman"/>
          <w:b/>
          <w:color w:val="000000"/>
          <w:sz w:val="24"/>
        </w:rPr>
        <w:t xml:space="preserve">Technical Machine Learning Problem: </w:t>
      </w:r>
      <w:r>
        <w:rPr>
          <w:rFonts w:ascii="Times New Roman" w:hAnsi="Times New Roman"/>
          <w:color w:val="000000"/>
          <w:sz w:val="24"/>
        </w:rPr>
        <w:t>Formulate a multi-modal supervised regression task predicting end-of-season crop yield (Metric Tons per Hectare) at county and regional administrative boundaries 60 to 90 days before harvest. The feature vector combines cumulative meteorological time-series (ERA5 daily temperature, rainfall, solar radiation) and vegetative vigor trajectories (Sentinel-2 NDVI/EVI) with static soil covariates.</w:t>
      </w:r>
    </w:p>
    <w:p>
      <w:pPr>
        <w:pStyle w:val="ListBullet"/>
        <w:spacing w:after="80"/>
      </w:pPr>
      <w:r>
        <w:rPr>
          <w:rFonts w:ascii="Times New Roman" w:hAnsi="Times New Roman"/>
          <w:b/>
          <w:color w:val="000000"/>
          <w:sz w:val="24"/>
        </w:rPr>
        <w:t xml:space="preserve">Target Business &amp; Technical KPIs: </w:t>
      </w:r>
      <w:r>
        <w:rPr>
          <w:rFonts w:ascii="Times New Roman" w:hAnsi="Times New Roman"/>
          <w:color w:val="000000"/>
          <w:sz w:val="24"/>
        </w:rPr>
        <w:t>Root Mean Squared Error (RMSE) &lt; 0.75 MT/Ha; Mean Absolute Percentage Error (MAPE) &lt; 8.5% across test crop reporting districts; model delivery 45 days prior to peak harvest.</w:t>
      </w:r>
    </w:p>
    <w:p>
      <w:pPr>
        <w:keepNext/>
        <w:widowControl/>
        <w:spacing w:before="240" w:after="80"/>
      </w:pPr>
      <w:r>
        <w:rPr>
          <w:rFonts w:ascii="Times New Roman" w:hAnsi="Times New Roman"/>
          <w:b/>
          <w:color w:val="000000"/>
          <w:sz w:val="32"/>
        </w:rPr>
        <w:t>2.2 Problem 2: Digital Soil Organic Carbon (SOC) &amp; Chemical Fertility Mapping</w:t>
      </w:r>
    </w:p>
    <w:p>
      <w:pPr>
        <w:keepNext/>
      </w:pPr>
      <w:r>
        <w:rPr>
          <w:rFonts w:ascii="Times New Roman" w:hAnsi="Times New Roman"/>
          <w:color w:val="000000"/>
          <w:sz w:val="24"/>
        </w:rPr>
        <w:t>Business Context: Agrochemical input providers and carbon credit registries require high-resolution soil fertility maps to formulate variable-rate fertilizer prescriptions and verify soil carbon sequestration claims. Physical laboratory soil testing costs $25 to $40 per core sample, making grid-based physical sampling across millions of commercial acres economically unviable.</w:t>
      </w:r>
    </w:p>
    <w:p>
      <w:pPr>
        <w:pStyle w:val="ListBullet"/>
        <w:spacing w:after="60"/>
      </w:pPr>
      <w:r>
        <w:rPr>
          <w:rFonts w:ascii="Times New Roman" w:hAnsi="Times New Roman"/>
          <w:b/>
          <w:color w:val="000000"/>
          <w:sz w:val="24"/>
        </w:rPr>
        <w:t xml:space="preserve">Technical Machine Learning Problem: </w:t>
      </w:r>
      <w:r>
        <w:rPr>
          <w:rFonts w:ascii="Times New Roman" w:hAnsi="Times New Roman"/>
          <w:color w:val="000000"/>
          <w:sz w:val="24"/>
        </w:rPr>
        <w:t>Develop a digital spatial regression model predicting soil organic carbon stock (g/kg), pH, and cation exchange capacity across standardized vertical depth layers (0-5 cm, 5-15 cm, 15-30 cm). The model maps sparse, high-cost point core observations to continuous geospatial grids using terrain topography covariates, remote sensing multi-spectral bands, and ISRIC SoilGrids 250m baseline layers.</w:t>
      </w:r>
    </w:p>
    <w:p>
      <w:pPr>
        <w:pStyle w:val="ListBullet"/>
        <w:spacing w:after="80"/>
      </w:pPr>
      <w:r>
        <w:rPr>
          <w:rFonts w:ascii="Times New Roman" w:hAnsi="Times New Roman"/>
          <w:b/>
          <w:color w:val="000000"/>
          <w:sz w:val="24"/>
        </w:rPr>
        <w:t xml:space="preserve">Target Business &amp; Technical KPIs: </w:t>
      </w:r>
      <w:r>
        <w:rPr>
          <w:rFonts w:ascii="Times New Roman" w:hAnsi="Times New Roman"/>
          <w:color w:val="000000"/>
          <w:sz w:val="24"/>
        </w:rPr>
        <w:t>Coefficient of Determination (R²) &gt; 0.72 on unseen spatial test folds; reduction in field physical sampling density by 70% while maintaining fertilization prescription accuracy.</w:t>
      </w:r>
    </w:p>
    <w:p>
      <w:pPr>
        <w:keepNext/>
        <w:widowControl/>
        <w:spacing w:before="240" w:after="80"/>
      </w:pPr>
      <w:r>
        <w:rPr>
          <w:rFonts w:ascii="Times New Roman" w:hAnsi="Times New Roman"/>
          <w:b/>
          <w:color w:val="000000"/>
          <w:sz w:val="32"/>
        </w:rPr>
        <w:t>2.3 Problem 3: Wholesale Agricultural Commodity Price &amp; Market Arrival Volatility</w:t>
      </w:r>
    </w:p>
    <w:p>
      <w:pPr>
        <w:keepNext/>
      </w:pPr>
      <w:r>
        <w:rPr>
          <w:rFonts w:ascii="Times New Roman" w:hAnsi="Times New Roman"/>
          <w:color w:val="000000"/>
          <w:sz w:val="24"/>
        </w:rPr>
        <w:t>Business Context: Wholesale agricultural commodity markets (such as regional mandi auction systems and cash grain trading terminals) suffer from severe daily price volatility. Perishable produce (tomatoes, onions) experiences price swings exceeding 40% within single 14-day intervals due to uncoordinated regional harvests, transport bottlenecks, and weather shocks. Smallholder producers and supply aggregators face massive post-harvest value destruction without short-term price trend forecasts.</w:t>
      </w:r>
    </w:p>
    <w:p>
      <w:pPr>
        <w:pStyle w:val="ListBullet"/>
        <w:spacing w:after="60"/>
      </w:pPr>
      <w:r>
        <w:rPr>
          <w:rFonts w:ascii="Times New Roman" w:hAnsi="Times New Roman"/>
          <w:b/>
          <w:color w:val="000000"/>
          <w:sz w:val="24"/>
        </w:rPr>
        <w:t xml:space="preserve">Technical Machine Learning Problem: </w:t>
      </w:r>
      <w:r>
        <w:rPr>
          <w:rFonts w:ascii="Times New Roman" w:hAnsi="Times New Roman"/>
          <w:color w:val="000000"/>
          <w:sz w:val="24"/>
        </w:rPr>
        <w:t>Structure a multi-step multivariate time-series forecasting pipeline predicting daily wholesale commodity modal prices and market arrival volumes across 1-day to 14-day forward forecast horizons. Covariates integrate historical price lag vectors, regional weather anomaly heatwave/rainfall indices, and calendar event schedules (religious festivals and trading holidays).</w:t>
      </w:r>
    </w:p>
    <w:p>
      <w:pPr>
        <w:pStyle w:val="ListBullet"/>
        <w:spacing w:after="80"/>
      </w:pPr>
      <w:r>
        <w:rPr>
          <w:rFonts w:ascii="Times New Roman" w:hAnsi="Times New Roman"/>
          <w:b/>
          <w:color w:val="000000"/>
          <w:sz w:val="24"/>
        </w:rPr>
        <w:t xml:space="preserve">Target Business &amp; Technical KPIs: </w:t>
      </w:r>
      <w:r>
        <w:rPr>
          <w:rFonts w:ascii="Times New Roman" w:hAnsi="Times New Roman"/>
          <w:color w:val="000000"/>
          <w:sz w:val="24"/>
        </w:rPr>
        <w:t>Mean Absolute Percentage Error (MAPE) &lt; 9.0% on 7-day forward price predictions; Directional Accuracy (sign of daily price delta) &gt; 74% to trigger hedge allocations.</w:t>
      </w:r>
    </w:p>
    <w:p>
      <w:pPr>
        <w:keepNext/>
        <w:widowControl/>
        <w:spacing w:before="200" w:after="60"/>
      </w:pPr>
      <w:r>
        <w:rPr>
          <w:rFonts w:ascii="Times New Roman" w:hAnsi="Times New Roman"/>
          <w:b/>
          <w:color w:val="000000"/>
          <w:sz w:val="28"/>
        </w:rPr>
        <w:t>Agribusiness Problem Prioritization Matrix</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Problem Statement</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Stakeholder</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ML Task</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Public Data Feeds</w:t>
            </w:r>
          </w:p>
        </w:tc>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Operational Horizon</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Crop Yield Forecasting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Grain Traders &amp; Insurers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Regression</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USDA NASS, ERA5, Sentinel-2</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Seasonal (60–90 Days)</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Digital Soil Mapping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Agronomists &amp; Ag-Chem</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Multi-Depth Regression</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ISRIC SoilGrids, USGS DEM</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Multi-Year / Static</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Market Price Forecasting</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Aggregators &amp; Mandis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Multivariate Time-Series</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Agmarknet, ERA5, Calendars</w:t>
            </w:r>
          </w:p>
        </w:tc>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Short-Term (1–14 Days)</w:t>
            </w:r>
          </w:p>
        </w:tc>
      </w:tr>
    </w:tbl>
    <w:p>
      <w:pPr>
        <w:keepNext/>
        <w:widowControl/>
        <w:spacing w:before="320" w:after="100"/>
      </w:pPr>
      <w:r>
        <w:rPr>
          <w:rFonts w:ascii="Times New Roman" w:hAnsi="Times New Roman"/>
          <w:b/>
          <w:color w:val="000000"/>
          <w:sz w:val="36"/>
        </w:rPr>
        <w:t>3. Strategic Objectives &amp; Success Criteria</w:t>
      </w:r>
    </w:p>
    <w:p>
      <w:pPr>
        <w:keepNext/>
      </w:pPr>
      <w:r>
        <w:rPr>
          <w:rFonts w:ascii="Times New Roman" w:hAnsi="Times New Roman"/>
          <w:color w:val="000000"/>
          <w:sz w:val="24"/>
        </w:rPr>
        <w:t>To prevent scope drift and deliver a production-ready machine learning framework across the 6-week internship program, the project establishes four formal technical objectives:</w:t>
      </w:r>
    </w:p>
    <w:p>
      <w:pPr>
        <w:pStyle w:val="ListBullet"/>
        <w:spacing w:after="60"/>
      </w:pPr>
      <w:r>
        <w:rPr>
          <w:rFonts w:ascii="Times New Roman" w:hAnsi="Times New Roman"/>
          <w:b/>
          <w:color w:val="000000"/>
          <w:sz w:val="24"/>
        </w:rPr>
        <w:t xml:space="preserve">Objective 1: Multi-Modal Public Data Ingestion Engine: </w:t>
      </w:r>
      <w:r>
        <w:rPr>
          <w:rFonts w:ascii="Times New Roman" w:hAnsi="Times New Roman"/>
          <w:color w:val="000000"/>
          <w:sz w:val="24"/>
        </w:rPr>
        <w:t>Design and operationalize an automated data acquisition pipeline (implemented in Week 2) extracting tabular yield statistics, climate grids, and satellite surface reflectance without manual intervention.</w:t>
      </w:r>
    </w:p>
    <w:p>
      <w:pPr>
        <w:pStyle w:val="ListBullet"/>
        <w:spacing w:after="60"/>
      </w:pPr>
      <w:r>
        <w:rPr>
          <w:rFonts w:ascii="Times New Roman" w:hAnsi="Times New Roman"/>
          <w:b/>
          <w:color w:val="000000"/>
          <w:sz w:val="24"/>
        </w:rPr>
        <w:t xml:space="preserve">Objective 2: Domain-Driven Feature Engineering Architecture: </w:t>
      </w:r>
      <w:r>
        <w:rPr>
          <w:rFonts w:ascii="Times New Roman" w:hAnsi="Times New Roman"/>
          <w:color w:val="000000"/>
          <w:sz w:val="24"/>
        </w:rPr>
        <w:t>Transform raw meteorological and spectral signals into biophysically meaningful agricultural indices—specifically Growing Degree Days (GDD), Vapor Pressure Deficit (VPD), and smoothed NDVI trajectories (Week 3).</w:t>
      </w:r>
    </w:p>
    <w:p>
      <w:pPr>
        <w:pStyle w:val="ListBullet"/>
        <w:spacing w:after="60"/>
      </w:pPr>
      <w:r>
        <w:rPr>
          <w:rFonts w:ascii="Times New Roman" w:hAnsi="Times New Roman"/>
          <w:b/>
          <w:color w:val="000000"/>
          <w:sz w:val="24"/>
        </w:rPr>
        <w:t xml:space="preserve">Objective 3: Benchmarked Model Training &amp; Spatial Validation: </w:t>
      </w:r>
      <w:r>
        <w:rPr>
          <w:rFonts w:ascii="Times New Roman" w:hAnsi="Times New Roman"/>
          <w:color w:val="000000"/>
          <w:sz w:val="24"/>
        </w:rPr>
        <w:t>Train and evaluate gradient boosted decision trees (XGBoost, LightGBM) and spatial regression baselines using spatial-block cross-validation to prevent geographic data leakage (Week 4 and Week 5).</w:t>
      </w:r>
    </w:p>
    <w:p>
      <w:pPr>
        <w:pStyle w:val="ListBullet"/>
        <w:spacing w:after="60"/>
      </w:pPr>
      <w:r>
        <w:rPr>
          <w:rFonts w:ascii="Times New Roman" w:hAnsi="Times New Roman"/>
          <w:b/>
          <w:color w:val="000000"/>
          <w:sz w:val="24"/>
        </w:rPr>
        <w:t xml:space="preserve">Objective 4: Production Pipeline Containerization &amp; Decision Dashboard: </w:t>
      </w:r>
      <w:r>
        <w:rPr>
          <w:rFonts w:ascii="Times New Roman" w:hAnsi="Times New Roman"/>
          <w:color w:val="000000"/>
          <w:sz w:val="24"/>
        </w:rPr>
        <w:t>Package the best-performing models into an automated inference pipeline delivering actionable predictions to agribusiness decision-makers via structured dashboards and REST endpoints (Week 6).</w:t>
      </w:r>
    </w:p>
    <w:p>
      <w:pPr>
        <w:keepNext/>
        <w:widowControl/>
        <w:spacing w:before="320" w:after="100"/>
      </w:pPr>
      <w:r>
        <w:rPr>
          <w:rFonts w:ascii="Times New Roman" w:hAnsi="Times New Roman"/>
          <w:b/>
          <w:color w:val="000000"/>
          <w:sz w:val="36"/>
        </w:rPr>
        <w:t>4. Data Acquisition Roadmap &amp; Source Mapping</w:t>
      </w:r>
    </w:p>
    <w:p>
      <w:pPr>
        <w:keepNext/>
      </w:pPr>
      <w:r>
        <w:rPr>
          <w:rFonts w:ascii="Times New Roman" w:hAnsi="Times New Roman"/>
          <w:color w:val="000000"/>
          <w:sz w:val="24"/>
        </w:rPr>
        <w:t>A machine learning model is only as reliable as its data foundation. The strategic plan maps required analytical features to verified, publicly accessible data repositories with open API endpoints:</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87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Data Stream</w:t>
            </w:r>
          </w:p>
        </w:tc>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Authoritative Source</w:t>
            </w:r>
          </w:p>
        </w:tc>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Data Ingestion Mechanism</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Refresh Frequency</w:t>
            </w:r>
          </w:p>
        </w:tc>
        <w:tc>
          <w:tcPr>
            <w:tcW w:type="dxa" w:w="230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Role in Machine Learning Pipeline</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Crop Production &amp; Yield</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USDA NASS Quick Stats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REST API (JSON/CSV)</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Annual / Weekly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Ground truth target labels (MT/Ha) for yield regression.</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Global Trade &amp; Acreage</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FAOSTAT Database</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 HTTP Bulk Archive</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Annual</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Macroeconomic regional demand and input usage baseline.</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Climate &amp; Meteorology</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Copernicus ERA5 Reanalysis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Python cdsapi (NetCDF4)</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Hourly / Daily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Thermal time (GDD), drought stress, and rainfall features.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Precipitation Grid</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CHIRPS (Climate Hazards)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 GeoTIFF / Earth Engine</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Daily / 5-Day</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High-resolution station-blended rainfall estimates.</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Physical Properties</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ISRIC SoilGrids 250m</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Cloud-Optimized GeoTIFF (WCS)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Static Decadal</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Soil texture, organic carbon, and moisture capacity.</w:t>
            </w:r>
          </w:p>
        </w:tc>
      </w:tr>
      <w:tr>
        <w:trPr>
          <w:cantSplit/>
        </w:trPr>
        <w:tc>
          <w:tcPr>
            <w:tcW w:type="dxa" w:w="187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Canopy Vegetation Index</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ESA Sentinel-2 Multispectral</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STAC API / AWS Open Data</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5-Day Cadence</w:t>
            </w:r>
          </w:p>
        </w:tc>
        <w:tc>
          <w:tcPr>
            <w:tcW w:type="dxa" w:w="230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Crop vigor, phenology stage, and chlorophyll tracking.</w:t>
            </w:r>
          </w:p>
        </w:tc>
      </w:tr>
    </w:tbl>
    <w:p>
      <w:pPr>
        <w:keepNext/>
        <w:widowControl/>
        <w:spacing w:before="240" w:after="80"/>
      </w:pPr>
      <w:r>
        <w:rPr>
          <w:rFonts w:ascii="Times New Roman" w:hAnsi="Times New Roman"/>
          <w:b/>
          <w:color w:val="000000"/>
          <w:sz w:val="32"/>
        </w:rPr>
        <w:t>4.2 Preliminary Preprocessing Strategy</w:t>
      </w:r>
    </w:p>
    <w:p>
      <w:pPr>
        <w:keepNext/>
      </w:pPr>
      <w:r>
        <w:rPr>
          <w:rFonts w:ascii="Times New Roman" w:hAnsi="Times New Roman"/>
          <w:color w:val="000000"/>
          <w:sz w:val="24"/>
        </w:rPr>
        <w:t>Raw agricultural data cannot be fed directly into estimators. The strategic plan mandates four preliminary data preparation protocols to be executed in Week 2 and Week 3:</w:t>
      </w:r>
    </w:p>
    <w:p>
      <w:pPr>
        <w:pStyle w:val="ListBullet"/>
        <w:spacing w:after="60"/>
      </w:pPr>
      <w:r>
        <w:rPr>
          <w:rFonts w:ascii="Times New Roman" w:hAnsi="Times New Roman"/>
          <w:b/>
          <w:color w:val="000000"/>
          <w:sz w:val="24"/>
        </w:rPr>
        <w:t xml:space="preserve">1. Coordinate Reference System (CRS) Reprojection: </w:t>
      </w:r>
      <w:r>
        <w:rPr>
          <w:rFonts w:ascii="Times New Roman" w:hAnsi="Times New Roman"/>
          <w:color w:val="000000"/>
          <w:sz w:val="24"/>
        </w:rPr>
        <w:t>All geospatial rasters (ERA5, SoilGrids, Sentinel-2) must be transformed from EPSG:4326 to a regional Equal Area projection (e.g., EPSG:5070 Albers Equal Area) to prevent latitude-dependent cell distortion.</w:t>
      </w:r>
    </w:p>
    <w:p>
      <w:pPr>
        <w:pStyle w:val="ListBullet"/>
        <w:spacing w:after="60"/>
      </w:pPr>
      <w:r>
        <w:rPr>
          <w:rFonts w:ascii="Times New Roman" w:hAnsi="Times New Roman"/>
          <w:b/>
          <w:color w:val="000000"/>
          <w:sz w:val="24"/>
        </w:rPr>
        <w:t xml:space="preserve">2. Cropland Mask Filtering: </w:t>
      </w:r>
      <w:r>
        <w:rPr>
          <w:rFonts w:ascii="Times New Roman" w:hAnsi="Times New Roman"/>
          <w:color w:val="000000"/>
          <w:sz w:val="24"/>
        </w:rPr>
        <w:t>Zonal extraction of satellite and climate metrics must apply USDA Crop Data Layer (CDL) masks to exclude non-agricultural pixels (forests, waterways, urban sprawl) from field-average features.</w:t>
      </w:r>
    </w:p>
    <w:p>
      <w:pPr>
        <w:pStyle w:val="ListBullet"/>
        <w:spacing w:after="60"/>
      </w:pPr>
      <w:r>
        <w:rPr>
          <w:rFonts w:ascii="Times New Roman" w:hAnsi="Times New Roman"/>
          <w:b/>
          <w:color w:val="000000"/>
          <w:sz w:val="24"/>
        </w:rPr>
        <w:t xml:space="preserve">3. Agronomic Missing Value Imputation: </w:t>
      </w:r>
      <w:r>
        <w:rPr>
          <w:rFonts w:ascii="Times New Roman" w:hAnsi="Times New Roman"/>
          <w:color w:val="000000"/>
          <w:sz w:val="24"/>
        </w:rPr>
        <w:t>Precipitation missingness must be resolved via Inverse Distance Weighting (IDW) from nearby rain stations rather than continuous linear interpolation. Optical cloud contamination must be masked using Scene Classification Layers (SCL) and smoothed via Savitzky-Golay filtering.</w:t>
      </w:r>
    </w:p>
    <w:p>
      <w:pPr>
        <w:pStyle w:val="ListBullet"/>
        <w:spacing w:after="60"/>
      </w:pPr>
      <w:r>
        <w:rPr>
          <w:rFonts w:ascii="Times New Roman" w:hAnsi="Times New Roman"/>
          <w:b/>
          <w:color w:val="000000"/>
          <w:sz w:val="24"/>
        </w:rPr>
        <w:t xml:space="preserve">4. Unit Standardization: </w:t>
      </w:r>
      <w:r>
        <w:rPr>
          <w:rFonts w:ascii="Times New Roman" w:hAnsi="Times New Roman"/>
          <w:color w:val="000000"/>
          <w:sz w:val="24"/>
        </w:rPr>
        <w:t>All commodity measures must be normalized to standard metric units: yields to MT/Ha, precipitation to mm, temperatures to °C, and commodity prices to USD/kg.</w:t>
      </w:r>
    </w:p>
    <w:p>
      <w:pPr>
        <w:keepNext/>
        <w:widowControl/>
        <w:spacing w:before="320" w:after="100"/>
      </w:pPr>
      <w:r>
        <w:rPr>
          <w:rFonts w:ascii="Times New Roman" w:hAnsi="Times New Roman"/>
          <w:b/>
          <w:color w:val="000000"/>
          <w:sz w:val="36"/>
        </w:rPr>
        <w:t>5. Initial Model Architecture Considerations</w:t>
      </w:r>
    </w:p>
    <w:p>
      <w:pPr>
        <w:keepNext/>
      </w:pPr>
      <w:r>
        <w:rPr>
          <w:rFonts w:ascii="Times New Roman" w:hAnsi="Times New Roman"/>
          <w:color w:val="000000"/>
          <w:sz w:val="24"/>
        </w:rPr>
        <w:t>Model selection in agricultural analytics must balance predictive accuracy with biological interpretability and resilience to spatial correlation. The project will evaluate four distinct model classes across a structured experimentation hierarchy:</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01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Model Class</w:t>
            </w:r>
          </w:p>
        </w:tc>
        <w:tc>
          <w:tcPr>
            <w:tcW w:type="dxa" w:w="244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Candidate Algorithms</w:t>
            </w:r>
          </w:p>
        </w:tc>
        <w:tc>
          <w:tcPr>
            <w:tcW w:type="dxa" w:w="288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Strengths in Agriculture</w:t>
            </w:r>
          </w:p>
        </w:tc>
        <w:tc>
          <w:tcPr>
            <w:tcW w:type="dxa" w:w="273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Primary Failure Modes / Risks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Linear Regularized</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Ridge Regression, Lasso, ElasticNet</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Fast training, high interpretability, transparent feature coefficients.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Fails to capture non-linear agro-climatic stress thresholds (e.g. heat shock).</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Tree-Based Ensembles</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Random Forest, Extra Trees</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Resistant to collinear features, captures non-linear interactions, handles missingness.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Cannot extrapolate beyond historical yield ranges in record-breaking drought years.</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Gradient Boosted Trees</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XGBoost, LightGBM, CatBoost</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State-of-the-art tabular accuracy, native handling of categorical crop types.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Prone to severe overfitting if spatial cross-validation is not strictly enforced.</w:t>
            </w:r>
          </w:p>
        </w:tc>
      </w:tr>
      <w:tr>
        <w:trPr>
          <w:cantSplit/>
        </w:trPr>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Deep Spatio-Temporal</w:t>
            </w:r>
          </w:p>
        </w:tc>
        <w:tc>
          <w:tcPr>
            <w:tcW w:type="dxa" w:w="244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1D-CNN + LSTM, Temporal Fusion Transformer</w:t>
            </w:r>
          </w:p>
        </w:tc>
        <w:tc>
          <w:tcPr>
            <w:tcW w:type="dxa" w:w="288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Learns sequential weather time-series and multi-spectral temporal dependencies.</w:t>
            </w:r>
          </w:p>
        </w:tc>
        <w:tc>
          <w:tcPr>
            <w:tcW w:type="dxa" w:w="273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Requires large training datasets; high compute overhead; opaque feature attribution.</w:t>
            </w:r>
          </w:p>
        </w:tc>
      </w:tr>
    </w:tbl>
    <w:p>
      <w:pPr>
        <w:keepNext/>
        <w:widowControl/>
        <w:spacing w:before="240" w:after="80"/>
      </w:pPr>
      <w:r>
        <w:rPr>
          <w:rFonts w:ascii="Times New Roman" w:hAnsi="Times New Roman"/>
          <w:b/>
          <w:color w:val="000000"/>
          <w:sz w:val="32"/>
        </w:rPr>
        <w:t>5.2 Spatial-Temporal Validation Strategy</w:t>
      </w:r>
    </w:p>
    <w:p>
      <w:pPr>
        <w:keepNext/>
      </w:pPr>
      <w:r>
        <w:rPr>
          <w:rFonts w:ascii="Times New Roman" w:hAnsi="Times New Roman"/>
          <w:color w:val="000000"/>
          <w:sz w:val="24"/>
        </w:rPr>
        <w:t>Standard random k-fold cross-validation is strictly prohibited in agricultural analytics. Because nearby farms share identical soil formations and weather patterns, random splits cause severe data leakage: models memorize local geographic features and achieve artificially high R² scores that collapse when evaluated in unseen production regions.</w:t>
      </w:r>
    </w:p>
    <w:p>
      <w:pPr>
        <w:pStyle w:val="ListBullet"/>
        <w:spacing w:after="60"/>
      </w:pPr>
      <w:r>
        <w:rPr>
          <w:rFonts w:ascii="Times New Roman" w:hAnsi="Times New Roman"/>
          <w:b/>
          <w:color w:val="000000"/>
          <w:sz w:val="24"/>
        </w:rPr>
        <w:t xml:space="preserve">Spatial-Block Cross-Validation: </w:t>
      </w:r>
      <w:r>
        <w:rPr>
          <w:rFonts w:ascii="Times New Roman" w:hAnsi="Times New Roman"/>
          <w:color w:val="000000"/>
          <w:sz w:val="24"/>
        </w:rPr>
        <w:t>Training and testing folds must be partitioned into contiguous geographic clusters (e.g., Agricultural Statistics Districts). Models are evaluated exclusively on regions excluded entirely from the training partition.</w:t>
      </w:r>
    </w:p>
    <w:p>
      <w:pPr>
        <w:pStyle w:val="ListBullet"/>
        <w:spacing w:after="60"/>
      </w:pPr>
      <w:r>
        <w:rPr>
          <w:rFonts w:ascii="Times New Roman" w:hAnsi="Times New Roman"/>
          <w:b/>
          <w:color w:val="000000"/>
          <w:sz w:val="24"/>
        </w:rPr>
        <w:t xml:space="preserve">Temporal Holdout Testing: </w:t>
      </w:r>
      <w:r>
        <w:rPr>
          <w:rFonts w:ascii="Times New Roman" w:hAnsi="Times New Roman"/>
          <w:color w:val="000000"/>
          <w:sz w:val="24"/>
        </w:rPr>
        <w:t>The final evaluation fold must reserve the most recent 2 to 3 chronological crop years (e.g., 2022–2024) to test model performance under forward climate conditions.</w:t>
      </w:r>
    </w:p>
    <w:p>
      <w:pPr>
        <w:pStyle w:val="ListBullet"/>
        <w:spacing w:after="60"/>
      </w:pPr>
      <w:r>
        <w:rPr>
          <w:rFonts w:ascii="Times New Roman" w:hAnsi="Times New Roman"/>
          <w:b/>
          <w:color w:val="000000"/>
          <w:sz w:val="24"/>
        </w:rPr>
        <w:t xml:space="preserve">Primary Evaluation Metrics: </w:t>
      </w:r>
      <w:r>
        <w:rPr>
          <w:rFonts w:ascii="Times New Roman" w:hAnsi="Times New Roman"/>
          <w:color w:val="000000"/>
          <w:sz w:val="24"/>
        </w:rPr>
        <w:t>Regression performance will be benchmarked using Root Mean Squared Error (RMSE), Mean Absolute Error (MAE), Mean Absolute Percentage Error (MAPE), and the Coefficient of Determination (R²).</w:t>
      </w:r>
    </w:p>
    <w:p>
      <w:pPr>
        <w:keepNext/>
        <w:widowControl/>
        <w:spacing w:before="320" w:after="100"/>
      </w:pPr>
      <w:r>
        <w:rPr>
          <w:rFonts w:ascii="Times New Roman" w:hAnsi="Times New Roman"/>
          <w:b/>
          <w:color w:val="000000"/>
          <w:sz w:val="36"/>
        </w:rPr>
        <w:t>6. Risk Analysis &amp; Operational Roadmap</w:t>
      </w:r>
    </w:p>
    <w:p>
      <w:pPr>
        <w:keepNext/>
      </w:pPr>
      <w:r>
        <w:rPr>
          <w:rFonts w:ascii="Times New Roman" w:hAnsi="Times New Roman"/>
          <w:color w:val="000000"/>
          <w:sz w:val="24"/>
        </w:rPr>
        <w:t>To ensure seamless execution, anticipated technical hurdles are matched with concrete risk mitigation protocols: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2160"/>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Anticipated Technical Risk</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Underlying Cause</w:t>
            </w:r>
          </w:p>
        </w:tc>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Severity</w:t>
            </w:r>
          </w:p>
        </w:tc>
        <w:tc>
          <w:tcPr>
            <w:tcW w:type="dxa" w:w="374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Operational Mitigation Strategy</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Satellite Cloud Contamination</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Persistent monsoon / tropical cloud cover during peak crop vegetative stage.</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w:t>
            </w:r>
          </w:p>
        </w:tc>
        <w:tc>
          <w:tcPr>
            <w:tcW w:type="dxa" w:w="374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Integrate optical Sentinel-2 with cloud-penetrating Sentinel-1 SAR C-band radar.</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Resolution Mismatch</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County yield polygons vs 31km weather grid vs 10m satellite pixels.</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w:t>
            </w:r>
          </w:p>
        </w:tc>
        <w:tc>
          <w:tcPr>
            <w:tcW w:type="dxa" w:w="374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Apply cropland-masked zonal statistics using USDA CDL to eliminate non-farm noise.</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Historical Data Drift</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Genetic seed improvements create upward yield trends unrelated to weather.</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Medium</w:t>
            </w:r>
          </w:p>
        </w:tc>
        <w:tc>
          <w:tcPr>
            <w:tcW w:type="dxa" w:w="374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Detrend historical yield records using LOESS regression before modeling weather impact.</w:t>
            </w:r>
          </w:p>
        </w:tc>
      </w:tr>
      <w:tr>
        <w:trPr>
          <w:cantSplit/>
        </w:trPr>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API Rate Limits &amp; Schema Shifts</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Government endpoints update HTML layouts or enforce throttling.</w:t>
            </w:r>
          </w:p>
        </w:tc>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Medium</w:t>
            </w:r>
          </w:p>
        </w:tc>
        <w:tc>
          <w:tcPr>
            <w:tcW w:type="dxa" w:w="374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Enforce exponential backoff with tenacity; cache raw JSON payloads immutably.</w:t>
            </w:r>
          </w:p>
        </w:tc>
      </w:tr>
    </w:tbl>
    <w:p>
      <w:pPr>
        <w:keepNext/>
        <w:widowControl/>
        <w:spacing w:before="240" w:after="80"/>
      </w:pPr>
      <w:r>
        <w:rPr>
          <w:rFonts w:ascii="Times New Roman" w:hAnsi="Times New Roman"/>
          <w:b/>
          <w:color w:val="000000"/>
          <w:sz w:val="32"/>
        </w:rPr>
        <w:t>6.2 Six-Week Internship Execution Roadmap</w:t>
      </w:r>
    </w:p>
    <w:p>
      <w:pPr>
        <w:keepNext/>
      </w:pPr>
      <w:r>
        <w:rPr>
          <w:rFonts w:ascii="Times New Roman" w:hAnsi="Times New Roman"/>
          <w:color w:val="000000"/>
          <w:sz w:val="24"/>
        </w:rPr>
        <w:t>The 6-week technical execution plan translates this strategic blueprint into progressive production milestones:</w:t>
      </w:r>
    </w:p>
    <w:tbl>
      <w:tblPr>
        <w:tblW w:type="auto" w:w="0"/>
        <w:jc w:val="center"/>
        <w:tblLook w:firstColumn="1" w:firstRow="1" w:lastColumn="0" w:lastRow="0" w:noHBand="0" w:noVBand="1" w:val="04A0"/>
      </w:tblPr>
      <w:tblGrid>
        <w:gridCol w:w="2448"/>
        <w:gridCol w:w="2448"/>
        <w:gridCol w:w="2448"/>
        <w:gridCol w:w="2448"/>
      </w:tblGrid>
      <w:tr>
        <w:trPr>
          <w:tblHeader/>
          <w:cantSplit/>
        </w:trPr>
        <w:tc>
          <w:tcPr>
            <w:tcW w:type="dxa" w:w="1584"/>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Milestone</w:t>
            </w:r>
          </w:p>
        </w:tc>
        <w:tc>
          <w:tcPr>
            <w:tcW w:type="dxa" w:w="2592"/>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Core Phase</w:t>
            </w:r>
          </w:p>
        </w:tc>
        <w:tc>
          <w:tcPr>
            <w:tcW w:type="dxa" w:w="4176"/>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Key Deliverables &amp; Objectives</w:t>
            </w:r>
          </w:p>
        </w:tc>
        <w:tc>
          <w:tcPr>
            <w:tcW w:type="dxa" w:w="1728"/>
            <w:shd w:fill="FFFFFF"/>
            <w:tcMar>
              <w:top w:w="120" w:type="dxa"/>
              <w:bottom w:w="120" w:type="dxa"/>
              <w:left w:w="130" w:type="dxa"/>
              <w:right w:w="130" w:type="dxa"/>
            </w:tcMar>
            <w:tcBorders>
              <w:top w:val="single" w:sz="12" w:space="0" w:color="000000"/>
              <w:left w:val="single" w:sz="6" w:space="0" w:color="000000"/>
              <w:bottom w:val="single" w:sz="16" w:space="0" w:color="000000"/>
              <w:right w:val="single" w:sz="6" w:space="0" w:color="000000"/>
            </w:tcBorders>
          </w:tcPr>
          <w:p>
            <w:pPr>
              <w:spacing w:after="0"/>
              <w:jc w:val="left"/>
            </w:pPr>
            <w:r>
              <w:rPr>
                <w:rFonts w:ascii="Times New Roman" w:hAnsi="Times New Roman"/>
                <w:b/>
                <w:color w:val="000000"/>
                <w:sz w:val="25"/>
              </w:rPr>
              <w:t>Status</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1</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Strategic Planning &amp; Problem Formulation</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Define agribusiness questions, establish KPIs, and map public data architectures.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Completed (This Deliverable)</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2</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Acquisition &amp; Cleaning Methodology</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Ingest multi-modal feeds (USDA, ERA5, SoilGrids, Sentinel-2), audit quality, clean datasets.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Completed (Methodology DOCX)</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3</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Exploratory Data Analysis &amp; Feature Engineering</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Compute agronomic features: GDD, VPD, smoothed NDVI trajectories, and soil indices.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Planned</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4</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Predictive Modeling &amp; Yield Forecasting</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Train baseline models (Ridge, Random Forest, XGBoost) and conduct hyperparameter tuning.</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Planned</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5</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Spatial-Temporal Validation &amp; Error Diagnostics</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Execute spatial-block cross-validation, evaluate regional errors, and compute SHAP values.</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Planned</w:t>
            </w:r>
          </w:p>
        </w:tc>
      </w:tr>
      <w:tr>
        <w:trPr>
          <w:cantSplit/>
        </w:trPr>
        <w:tc>
          <w:tcPr>
            <w:tcW w:type="dxa" w:w="1584"/>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6</w:t>
            </w:r>
          </w:p>
        </w:tc>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Pipeline Automation &amp; Final Capstone Delivery</w:t>
            </w:r>
          </w:p>
        </w:tc>
        <w:tc>
          <w:tcPr>
            <w:tcW w:type="dxa" w:w="417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Deploy automated inference pipeline, construct decision dashboard, deliver capstone whitepaper.</w:t>
            </w:r>
          </w:p>
        </w:tc>
        <w:tc>
          <w:tcPr>
            <w:tcW w:type="dxa" w:w="1728"/>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Planned</w:t>
            </w:r>
          </w:p>
        </w:tc>
      </w:tr>
    </w:tbl>
    <w:p>
      <w:pPr>
        <w:spacing w:before="280"/>
        <w:jc w:val="center"/>
      </w:pPr>
      <w:r>
        <w:rPr>
          <w:rFonts w:ascii="Times New Roman" w:hAnsi="Times New Roman"/>
          <w:i/>
          <w:color w:val="000000"/>
          <w:sz w:val="24"/>
        </w:rPr>
        <w:t>— End of Strategic Planning and Problem Definition Deliverable (Week 1)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1 Task: Strategic Planning and Data Problem Definition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