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Times New Roman" w:hAnsi="Times New Roman"/>
          <w:b/>
          <w:color w:val="000000"/>
          <w:sz w:val="28"/>
        </w:rPr>
        <w:t>INTERNSHIP DELIVERABLE — WEEK 3</w:t>
      </w:r>
    </w:p>
    <w:p>
      <w:pPr>
        <w:keepNext/>
        <w:spacing w:before="40" w:after="80"/>
      </w:pPr>
      <w:r>
        <w:rPr>
          <w:rFonts w:ascii="Times New Roman" w:hAnsi="Times New Roman"/>
          <w:b/>
          <w:color w:val="000000"/>
          <w:sz w:val="40"/>
        </w:rPr>
        <w:t>Exploratory Data Analysis (EDA) and Visualization in Agriculture</w:t>
      </w:r>
    </w:p>
    <w:p>
      <w:pPr>
        <w:keepNext/>
        <w:spacing w:after="120"/>
      </w:pPr>
      <w:r>
        <w:rPr>
          <w:rFonts w:ascii="Times New Roman" w:hAnsi="Times New Roman"/>
          <w:i/>
          <w:color w:val="000000"/>
          <w:sz w:val="26"/>
        </w:rPr>
        <w:t>Statistical Pattern Recognition, Spatial Autocorrelation, and Agronomic Dynamics</w:t>
      </w:r>
    </w:p>
    <w:tbl>
      <w:tblPr>
        <w:tblW w:type="auto" w:w="0"/>
        <w:jc w:val="center"/>
        <w:tblLook w:firstColumn="1" w:firstRow="1" w:lastColumn="0" w:lastRow="0" w:noHBand="0" w:noVBand="1" w:val="04A0"/>
      </w:tblPr>
      <w:tblGrid>
        <w:gridCol w:w="4896"/>
        <w:gridCol w:w="4896"/>
      </w:tblGrid>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Intern / Author: </w:t>
            </w:r>
            <w:r>
              <w:rPr>
                <w:rFonts w:ascii="Times New Roman" w:hAnsi="Times New Roman"/>
                <w:b/>
                <w:color w:val="000000"/>
                <w:sz w:val="26"/>
              </w:rPr>
              <w:t>Ankit Kumar</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Target Role: </w:t>
            </w:r>
            <w:r>
              <w:rPr>
                <w:rFonts w:ascii="Times New Roman" w:hAnsi="Times New Roman"/>
                <w:color w:val="000000"/>
                <w:sz w:val="26"/>
              </w:rPr>
              <w:t>Junior Machine Learning Data Analyst</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Track: </w:t>
            </w:r>
            <w:r>
              <w:rPr>
                <w:rFonts w:ascii="Times New Roman" w:hAnsi="Times New Roman"/>
                <w:color w:val="000000"/>
                <w:sz w:val="26"/>
              </w:rPr>
              <w:t>Agriculture &amp; Agribusiness Analytics</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Deliverable ID: </w:t>
            </w:r>
            <w:r>
              <w:rPr>
                <w:rFonts w:ascii="Times New Roman" w:hAnsi="Times New Roman"/>
                <w:color w:val="000000"/>
                <w:sz w:val="26"/>
              </w:rPr>
              <w:t>Week 3 EDA Architecture (W3)</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Analytical Scope: </w:t>
            </w:r>
            <w:r>
              <w:rPr>
                <w:rFonts w:ascii="Times New Roman" w:hAnsi="Times New Roman"/>
                <w:color w:val="000000"/>
                <w:sz w:val="26"/>
              </w:rPr>
              <w:t>Spatio-Temporal EDA, Weather Lags, Price Elasticity</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Estimated Project Scope: </w:t>
            </w:r>
            <w:r>
              <w:rPr>
                <w:rFonts w:ascii="Times New Roman" w:hAnsi="Times New Roman"/>
                <w:color w:val="000000"/>
                <w:sz w:val="26"/>
              </w:rPr>
              <w:t>30 to 35 Hours Technical Execution</w:t>
            </w:r>
          </w:p>
        </w:tc>
      </w:tr>
    </w:tbl>
    <w:p>
      <w:pPr>
        <w:keepNext/>
        <w:widowControl/>
        <w:spacing w:before="320" w:after="100"/>
      </w:pPr>
      <w:r>
        <w:rPr>
          <w:rFonts w:ascii="Times New Roman" w:hAnsi="Times New Roman"/>
          <w:b/>
          <w:color w:val="000000"/>
          <w:sz w:val="36"/>
        </w:rPr>
        <w:t>1. Executive Summary &amp; EDA Objectives</w:t>
      </w:r>
    </w:p>
    <w:p>
      <w:r>
        <w:rPr>
          <w:rFonts w:ascii="Times New Roman" w:hAnsi="Times New Roman"/>
          <w:color w:val="000000"/>
          <w:sz w:val="24"/>
        </w:rPr>
        <w:t>Exploratory Data Analysis (EDA) in agriculture is fundamentally different from generic tabular analysis. Agricultural features are deeply intertwined with geographic topology, biological phenology, and lagged weather accumulation. Before feeding features into predictive estimators, an analyst must dissect distributions, confirm non-linear stress boundaries, and detect spatial non-stationarity.</w:t>
      </w:r>
    </w:p>
    <w:p>
      <w:r>
        <w:rPr>
          <w:rFonts w:ascii="Times New Roman" w:hAnsi="Times New Roman"/>
          <w:color w:val="000000"/>
          <w:sz w:val="24"/>
        </w:rPr>
        <w:t>The objective of this Week 3 framework is to establish an end-to-end exploratory methodology covering four core investigation tracks: (1) Decomposing long-term historical crop yield trends into genetic technological progress versus environmental shocks; (2) Quantifying non-linear correlations between cumulative meteorological stress (heat shock days, drought indices) and final harvest output; (3) Evaluating spatial autocorrelation across digital soil property layers to ensure valid geographic interpolation; and (4) Modeling wholesale commodity market price distributions and arrival volume elasticity across seasonal marketing cycles.</w:t>
      </w:r>
    </w:p>
    <w:tbl>
      <w:tblPr>
        <w:tblW w:type="auto" w:w="0"/>
        <w:jc w:val="center"/>
        <w:tblLook w:firstColumn="1" w:firstRow="1" w:lastColumn="0" w:lastRow="0" w:noHBand="0" w:noVBand="1" w:val="04A0"/>
      </w:tblPr>
      <w:tblGrid>
        <w:gridCol w:w="9792"/>
      </w:tblGrid>
      <w:tr>
        <w:tc>
          <w:tcPr>
            <w:tcW w:type="dxa" w:w="9792"/>
            <w:shd w:fill="FFFFFF"/>
            <w:tcMar>
              <w:top w:w="140" w:type="dxa"/>
              <w:bottom w:w="140" w:type="dxa"/>
              <w:left w:w="180" w:type="dxa"/>
              <w:right w:w="180" w:type="dxa"/>
            </w:tcMar>
            <w:tcBorders>
              <w:top w:val="single" w:sz="6" w:space="0" w:color="000000"/>
              <w:left w:val="single" w:sz="36" w:space="0" w:color="000000"/>
              <w:bottom w:val="single" w:sz="6" w:space="0" w:color="000000"/>
              <w:right w:val="single" w:sz="6" w:space="0" w:color="000000"/>
            </w:tcBorders>
          </w:tcPr>
          <w:p>
            <w:pPr>
              <w:spacing w:before="60" w:after="60" w:line="276" w:lineRule="auto"/>
            </w:pPr>
            <w:r>
              <w:rPr>
                <w:rFonts w:ascii="Times New Roman" w:hAnsi="Times New Roman"/>
                <w:b/>
                <w:color w:val="000000"/>
                <w:sz w:val="25"/>
              </w:rPr>
              <w:t>AGRONOMIC EDA DIRECTIVE</w:t>
              <w:br/>
            </w:r>
            <w:r>
              <w:rPr>
                <w:rFonts w:ascii="Times New Roman" w:hAnsi="Times New Roman"/>
                <w:color w:val="000000"/>
                <w:sz w:val="24"/>
              </w:rPr>
              <w:t>Agricultural EDA must uncover biological thresholds rather than mere linear correlations. A 2°C temperature elevation during vegetative maize growth increases photosynthetic rate, whereas the exact same 2°C increase during the 10-day pollination/silking window causes pollen desiccation and catastrophic yield collapse. Visualizations must explicitly resolve growth-stage-specific interaction windows.</w:t>
            </w:r>
          </w:p>
        </w:tc>
      </w:tr>
    </w:tbl>
    <w:p>
      <w:pPr>
        <w:keepNext/>
        <w:widowControl/>
        <w:spacing w:before="320" w:after="100"/>
      </w:pPr>
      <w:r>
        <w:rPr>
          <w:rFonts w:ascii="Times New Roman" w:hAnsi="Times New Roman"/>
          <w:b/>
          <w:color w:val="000000"/>
          <w:sz w:val="36"/>
        </w:rPr>
        <w:t>2. Multi-Dimensional EDA Methodology</w:t>
      </w:r>
    </w:p>
    <w:p>
      <w:pPr>
        <w:keepNext/>
      </w:pPr>
      <w:r>
        <w:rPr>
          <w:rFonts w:ascii="Times New Roman" w:hAnsi="Times New Roman"/>
          <w:color w:val="000000"/>
          <w:sz w:val="24"/>
        </w:rPr>
        <w:t>The EDA methodology follows a five-stage progressive architecture designed to move systematically from single-variable integrity audits to high-dimensional spatial-temporal interaction mapping:</w:t>
      </w:r>
    </w:p>
    <w:p>
      <w:pPr>
        <w:keepNext/>
        <w:widowControl/>
        <w:spacing w:before="240" w:after="80"/>
      </w:pPr>
      <w:r>
        <w:rPr>
          <w:rFonts w:ascii="Times New Roman" w:hAnsi="Times New Roman"/>
          <w:b/>
          <w:color w:val="000000"/>
          <w:sz w:val="32"/>
        </w:rPr>
        <w:t>2.1 Stage 1: Univariate Distribution &amp; Parametric Health Audits</w:t>
      </w:r>
    </w:p>
    <w:p>
      <w:pPr>
        <w:keepNext/>
      </w:pPr>
      <w:r>
        <w:rPr>
          <w:rFonts w:ascii="Times New Roman" w:hAnsi="Times New Roman"/>
          <w:color w:val="000000"/>
          <w:sz w:val="24"/>
        </w:rPr>
        <w:t>Every raw feature is evaluated for distributional skewness, kurtosis, and zero-inflation. Agricultural features routinely violate normality assumptions: daily precipitation exhibits extreme right-skewed Tweedie/Gamma distributions with heavy zero-inflation (dry days), while crop yields in stable irrigated regions display negatively skewed distributions capped by biological physiological ceilings.</w:t>
      </w:r>
    </w:p>
    <w:p>
      <w:pPr>
        <w:pStyle w:val="ListBullet"/>
        <w:spacing w:after="60"/>
      </w:pPr>
      <w:r>
        <w:rPr>
          <w:rFonts w:ascii="Times New Roman" w:hAnsi="Times New Roman"/>
          <w:b/>
          <w:color w:val="000000"/>
          <w:sz w:val="24"/>
        </w:rPr>
        <w:t xml:space="preserve">Parametric &amp; Non-Parametric Metrics: </w:t>
      </w:r>
      <w:r>
        <w:rPr>
          <w:rFonts w:ascii="Times New Roman" w:hAnsi="Times New Roman"/>
          <w:color w:val="000000"/>
          <w:sz w:val="24"/>
        </w:rPr>
        <w:t>Compute mean, median, interquartile range (IQR), and Median Absolute Deviation (MAD) to establish baseline central tendencies without outlier corruption.</w:t>
      </w:r>
    </w:p>
    <w:p>
      <w:pPr>
        <w:pStyle w:val="ListBullet"/>
        <w:spacing w:after="60"/>
      </w:pPr>
      <w:r>
        <w:rPr>
          <w:rFonts w:ascii="Times New Roman" w:hAnsi="Times New Roman"/>
          <w:b/>
          <w:color w:val="000000"/>
          <w:sz w:val="24"/>
        </w:rPr>
        <w:t xml:space="preserve">Normality Diagnostics: </w:t>
      </w:r>
      <w:r>
        <w:rPr>
          <w:rFonts w:ascii="Times New Roman" w:hAnsi="Times New Roman"/>
          <w:color w:val="000000"/>
          <w:sz w:val="24"/>
        </w:rPr>
        <w:t>Perform Shapiro-Wilk and D'Agostino-Pearson tests on yield distributions to determine whether downstream models require Box-Cox or logarithmic power transformations.</w:t>
      </w:r>
    </w:p>
    <w:p>
      <w:pPr>
        <w:pStyle w:val="ListBullet"/>
        <w:spacing w:after="60"/>
      </w:pPr>
      <w:r>
        <w:rPr>
          <w:rFonts w:ascii="Times New Roman" w:hAnsi="Times New Roman"/>
          <w:b/>
          <w:color w:val="000000"/>
          <w:sz w:val="24"/>
        </w:rPr>
        <w:t xml:space="preserve">Zero-Inflation Quantification: </w:t>
      </w:r>
      <w:r>
        <w:rPr>
          <w:rFonts w:ascii="Times New Roman" w:hAnsi="Times New Roman"/>
          <w:color w:val="000000"/>
          <w:sz w:val="24"/>
        </w:rPr>
        <w:t>Measure the exact zero-rainfall ratio across weather station feeds to configure downstream zero-inflated Gamma estimators.</w:t>
      </w:r>
    </w:p>
    <w:p>
      <w:pPr>
        <w:keepNext/>
        <w:widowControl/>
        <w:spacing w:before="240" w:after="80"/>
      </w:pPr>
      <w:r>
        <w:rPr>
          <w:rFonts w:ascii="Times New Roman" w:hAnsi="Times New Roman"/>
          <w:b/>
          <w:color w:val="000000"/>
          <w:sz w:val="32"/>
        </w:rPr>
        <w:t>2.2 Stage 2: Bivariate Weather-Yield Response Curve Profiling</w:t>
      </w:r>
    </w:p>
    <w:p>
      <w:pPr>
        <w:keepNext/>
      </w:pPr>
      <w:r>
        <w:rPr>
          <w:rFonts w:ascii="Times New Roman" w:hAnsi="Times New Roman"/>
          <w:color w:val="000000"/>
          <w:sz w:val="24"/>
        </w:rPr>
        <w:t>Pairwise linear Pearson correlation coefficients are notoriously misleading in crop science because plant biological response curves are strictly non-linear. Bivariate analysis maps yield anomalies against environmental stresses across distinct temporal windows:</w:t>
      </w:r>
    </w:p>
    <w:p>
      <w:pPr>
        <w:pStyle w:val="ListBullet"/>
        <w:spacing w:after="60"/>
      </w:pPr>
      <w:r>
        <w:rPr>
          <w:rFonts w:ascii="Times New Roman" w:hAnsi="Times New Roman"/>
          <w:b/>
          <w:color w:val="000000"/>
          <w:sz w:val="24"/>
        </w:rPr>
        <w:t xml:space="preserve">Non-Linear Correlation Metrics: </w:t>
      </w:r>
      <w:r>
        <w:rPr>
          <w:rFonts w:ascii="Times New Roman" w:hAnsi="Times New Roman"/>
          <w:color w:val="000000"/>
          <w:sz w:val="24"/>
        </w:rPr>
        <w:t>Calculate Spearman's Rank and Kendall's Tau correlations alongside Distance Correlation (dCor) to detect non-monotonic dependency structures.</w:t>
      </w:r>
    </w:p>
    <w:p>
      <w:pPr>
        <w:pStyle w:val="ListBullet"/>
        <w:spacing w:after="60"/>
      </w:pPr>
      <w:r>
        <w:rPr>
          <w:rFonts w:ascii="Times New Roman" w:hAnsi="Times New Roman"/>
          <w:b/>
          <w:color w:val="000000"/>
          <w:sz w:val="24"/>
        </w:rPr>
        <w:t xml:space="preserve">Thermal Stress Step-Functions: </w:t>
      </w:r>
      <w:r>
        <w:rPr>
          <w:rFonts w:ascii="Times New Roman" w:hAnsi="Times New Roman"/>
          <w:color w:val="000000"/>
          <w:sz w:val="24"/>
        </w:rPr>
        <w:t>Bin daily maximum temperatures into 2°C bins to identify the exact physiological heat cutoff (T_critical) where incremental degree days turn from beneficial to lethal.</w:t>
      </w:r>
    </w:p>
    <w:p>
      <w:pPr>
        <w:pStyle w:val="ListBullet"/>
        <w:spacing w:after="60"/>
      </w:pPr>
      <w:r>
        <w:rPr>
          <w:rFonts w:ascii="Times New Roman" w:hAnsi="Times New Roman"/>
          <w:b/>
          <w:color w:val="000000"/>
          <w:sz w:val="24"/>
        </w:rPr>
        <w:t xml:space="preserve">Vapor Pressure Deficit (VPD) Thresholds: </w:t>
      </w:r>
      <w:r>
        <w:rPr>
          <w:rFonts w:ascii="Times New Roman" w:hAnsi="Times New Roman"/>
          <w:color w:val="000000"/>
          <w:sz w:val="24"/>
        </w:rPr>
        <w:t>Plot atmospheric moisture deficit against midday vegetation index values to observe stomatal closure dynamics.</w:t>
      </w:r>
    </w:p>
    <w:p>
      <w:pPr>
        <w:keepNext/>
        <w:widowControl/>
        <w:spacing w:before="240" w:after="80"/>
      </w:pPr>
      <w:r>
        <w:rPr>
          <w:rFonts w:ascii="Times New Roman" w:hAnsi="Times New Roman"/>
          <w:b/>
          <w:color w:val="000000"/>
          <w:sz w:val="32"/>
        </w:rPr>
        <w:t>2.3 Stage 3: Spatial Autocorrelation &amp; Geospatial Dependency Mapping</w:t>
      </w:r>
    </w:p>
    <w:p>
      <w:pPr>
        <w:keepNext/>
      </w:pPr>
      <w:r>
        <w:rPr>
          <w:rFonts w:ascii="Times New Roman" w:hAnsi="Times New Roman"/>
          <w:color w:val="000000"/>
          <w:sz w:val="24"/>
        </w:rPr>
        <w:t>Agricultural observations violate the core statistical assumption of independent observations. Tobler's First Law of Geography dictates that adjacent farm plots share similar soil textures, microclimates, and pest vectors. Spatial EDA quantifies this spatial structure to prevent geographic data leakage:</w:t>
      </w:r>
    </w:p>
    <w:p>
      <w:pPr>
        <w:pStyle w:val="ListBullet"/>
        <w:spacing w:after="60"/>
      </w:pPr>
      <w:r>
        <w:rPr>
          <w:rFonts w:ascii="Times New Roman" w:hAnsi="Times New Roman"/>
          <w:b/>
          <w:color w:val="000000"/>
          <w:sz w:val="24"/>
        </w:rPr>
        <w:t xml:space="preserve">Global Moran's I Statistic: </w:t>
      </w:r>
      <w:r>
        <w:rPr>
          <w:rFonts w:ascii="Times New Roman" w:hAnsi="Times New Roman"/>
          <w:color w:val="000000"/>
          <w:sz w:val="24"/>
        </w:rPr>
        <w:t>Compute Global Moran's I across county crop yields and SoilGrids organic carbon rasters using a row-standardized k-nearest neighbors (KNN) spatial weights matrix (W). A Moran's I &gt; 0.6 confirms strong positive spatial clustering requiring spatial-block CV partitions.</w:t>
      </w:r>
    </w:p>
    <w:p>
      <w:pPr>
        <w:pStyle w:val="ListBullet"/>
        <w:spacing w:after="60"/>
      </w:pPr>
      <w:r>
        <w:rPr>
          <w:rFonts w:ascii="Times New Roman" w:hAnsi="Times New Roman"/>
          <w:b/>
          <w:color w:val="000000"/>
          <w:sz w:val="24"/>
        </w:rPr>
        <w:t xml:space="preserve">Local Indicators of Spatial Association (LISA): </w:t>
      </w:r>
      <w:r>
        <w:rPr>
          <w:rFonts w:ascii="Times New Roman" w:hAnsi="Times New Roman"/>
          <w:color w:val="000000"/>
          <w:sz w:val="24"/>
        </w:rPr>
        <w:t>Generate Anselin Local Moran's I maps to identify High-High yield clusters ('sweet spots'), Low-Low clusters ('chronic drought zones'), and spatial outliers (High-Low irrigated islands surrounded by rainfed drought).</w:t>
      </w:r>
    </w:p>
    <w:p>
      <w:pPr>
        <w:pStyle w:val="ListBullet"/>
        <w:spacing w:after="60"/>
      </w:pPr>
      <w:r>
        <w:rPr>
          <w:rFonts w:ascii="Times New Roman" w:hAnsi="Times New Roman"/>
          <w:b/>
          <w:color w:val="000000"/>
          <w:sz w:val="24"/>
        </w:rPr>
        <w:t xml:space="preserve">Semivariogram Modeling: </w:t>
      </w:r>
      <w:r>
        <w:rPr>
          <w:rFonts w:ascii="Times New Roman" w:hAnsi="Times New Roman"/>
          <w:color w:val="000000"/>
          <w:sz w:val="24"/>
        </w:rPr>
        <w:t>Fit spherical and exponential semivariograms (gamma(h)) to ground soil core observations to quantify the spatial range parameter (the maximum distance over which soil properties remain correlated).</w:t>
      </w:r>
    </w:p>
    <w:p>
      <w:pPr>
        <w:keepNext/>
        <w:widowControl/>
        <w:spacing w:before="200" w:after="60"/>
      </w:pPr>
      <w:r>
        <w:rPr>
          <w:rFonts w:ascii="Times New Roman" w:hAnsi="Times New Roman"/>
          <w:b/>
          <w:color w:val="000000"/>
          <w:sz w:val="28"/>
        </w:rPr>
        <w:t>Comprehensive Agricultural EDA Process Framework</w:t>
      </w:r>
    </w:p>
    <w:tbl>
      <w:tblPr>
        <w:tblW w:type="auto" w:w="0"/>
        <w:jc w:val="center"/>
        <w:tblLook w:firstColumn="1" w:firstRow="1" w:lastColumn="0" w:lastRow="0" w:noHBand="0" w:noVBand="1" w:val="04A0"/>
      </w:tblPr>
      <w:tblGrid>
        <w:gridCol w:w="2448"/>
        <w:gridCol w:w="2448"/>
        <w:gridCol w:w="2448"/>
        <w:gridCol w:w="2448"/>
      </w:tblGrid>
      <w:tr>
        <w:trPr>
          <w:tblHeader/>
          <w:cantSplit/>
        </w:trPr>
        <w:tc>
          <w:tcPr>
            <w:tcW w:type="dxa" w:w="201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EDA Phase</w:t>
            </w:r>
          </w:p>
        </w:tc>
        <w:tc>
          <w:tcPr>
            <w:tcW w:type="dxa" w:w="288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Primary Analytical Technique</w:t>
            </w:r>
          </w:p>
        </w:tc>
        <w:tc>
          <w:tcPr>
            <w:tcW w:type="dxa" w:w="259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Target Variables</w:t>
            </w:r>
          </w:p>
        </w:tc>
        <w:tc>
          <w:tcPr>
            <w:tcW w:type="dxa" w:w="288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Agronomic Objective</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Phase 1: Univariate</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Distribution fitting, skewness, zero-inflation</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Daily rainfall, county yields</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Audit data health, detect sensor saturation, choose scaling.</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Phase 2: Bivariate</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Non-linear response curves, Spearman rank</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GDD, VPD, extreme heat days vs yield</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Identify physiological stress thresholds and critical growth periods.</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Phase 3: Spatial</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Global Moran's I, LISA cluster maps, variograms</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Soil organic carbon, yield residuals</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Quantify spatial dependency, configure spatial-block CV.</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Phase 4: Temporal</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STL decomposition, seasonal Fourier terms</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Vegetation NDVI, mandi prices</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Separate multi-year technological trends from climate anomalies.</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Phase 5: Multivariate</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Correlation heatmaps, PCA, variance inflation</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Soil physical and weather interactions</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Detect severe multicollinearity prior to model training.</w:t>
            </w:r>
          </w:p>
        </w:tc>
      </w:tr>
    </w:tbl>
    <w:p>
      <w:pPr>
        <w:keepNext/>
        <w:widowControl/>
        <w:spacing w:before="320" w:after="100"/>
      </w:pPr>
      <w:r>
        <w:rPr>
          <w:rFonts w:ascii="Times New Roman" w:hAnsi="Times New Roman"/>
          <w:b/>
          <w:color w:val="000000"/>
          <w:sz w:val="36"/>
        </w:rPr>
        <w:t>3. Visualization Techniques &amp; Chart Justifications</w:t>
      </w:r>
    </w:p>
    <w:p>
      <w:pPr>
        <w:keepNext/>
      </w:pPr>
      <w:r>
        <w:rPr>
          <w:rFonts w:ascii="Times New Roman" w:hAnsi="Times New Roman"/>
          <w:color w:val="000000"/>
          <w:sz w:val="24"/>
        </w:rPr>
        <w:t>Effective visualization translates complex agronomic interactions into intuitive, decision-grade graphical representations. Below are six core visualization techniques selected and tailored for agricultural machine learning data analysis:</w:t>
      </w:r>
    </w:p>
    <w:p>
      <w:pPr>
        <w:keepNext/>
        <w:widowControl/>
        <w:spacing w:before="240" w:after="80"/>
      </w:pPr>
      <w:r>
        <w:rPr>
          <w:rFonts w:ascii="Times New Roman" w:hAnsi="Times New Roman"/>
          <w:b/>
          <w:color w:val="000000"/>
          <w:sz w:val="32"/>
        </w:rPr>
        <w:t>3.1 Bi-Weekly Multi-Spectral NDVI Phenology Trajectories</w:t>
      </w:r>
    </w:p>
    <w:p>
      <w:pPr>
        <w:keepNext/>
      </w:pPr>
      <w:r>
        <w:rPr>
          <w:rFonts w:ascii="Times New Roman" w:hAnsi="Times New Roman"/>
          <w:color w:val="000000"/>
          <w:sz w:val="24"/>
        </w:rPr>
        <w:t>Visual Formulation: Dual line chart displaying multi-date Sentinel-2 NDVI vegetative trajectories across the 180-day crop lifecycle, overlaid with a shaded 95% historical confidence interval band. Cloud-masked dates are depicted as dashed interpolations, and key phenological milestones (emergence, silking/heading, physiological maturity) are marked with vertical milestone guides.</w:t>
      </w:r>
    </w:p>
    <w:p>
      <w:pPr>
        <w:pStyle w:val="ListBullet"/>
        <w:spacing w:after="60"/>
      </w:pPr>
      <w:r>
        <w:rPr>
          <w:rFonts w:ascii="Times New Roman" w:hAnsi="Times New Roman"/>
          <w:b/>
          <w:color w:val="000000"/>
          <w:sz w:val="24"/>
        </w:rPr>
        <w:t xml:space="preserve">Agronomic Justification: </w:t>
      </w:r>
      <w:r>
        <w:rPr>
          <w:rFonts w:ascii="Times New Roman" w:hAnsi="Times New Roman"/>
          <w:color w:val="000000"/>
          <w:sz w:val="24"/>
        </w:rPr>
        <w:t>Allows immediate visual detection of crop developmental delays. If the green-up trajectory lags the 10-year historical baseline by 14 days, the model flags early-season cold soil temperatures or delayed planting.</w:t>
      </w:r>
    </w:p>
    <w:p>
      <w:pPr>
        <w:keepNext/>
        <w:widowControl/>
        <w:spacing w:before="240" w:after="80"/>
      </w:pPr>
      <w:r>
        <w:rPr>
          <w:rFonts w:ascii="Times New Roman" w:hAnsi="Times New Roman"/>
          <w:b/>
          <w:color w:val="000000"/>
          <w:sz w:val="32"/>
        </w:rPr>
        <w:t>3.2 Growing Degree Days (GDD) vs Cumulative Yield Scatter with Non-Linear Polynomial Fences</w:t>
      </w:r>
    </w:p>
    <w:p>
      <w:pPr>
        <w:keepNext/>
      </w:pPr>
      <w:r>
        <w:rPr>
          <w:rFonts w:ascii="Times New Roman" w:hAnsi="Times New Roman"/>
          <w:color w:val="000000"/>
          <w:sz w:val="24"/>
        </w:rPr>
        <w:t>Visual Formulation: High-density scatter plot mapping cumulative thermal time (GDD, base 10°C) along the horizontal axis against harvested crop yield (MT/Ha) on the vertical axis, color-coded by cumulative seasonal precipitation.</w:t>
      </w:r>
    </w:p>
    <w:p>
      <w:pPr>
        <w:pStyle w:val="ListBullet"/>
        <w:spacing w:after="60"/>
      </w:pPr>
      <w:r>
        <w:rPr>
          <w:rFonts w:ascii="Times New Roman" w:hAnsi="Times New Roman"/>
          <w:b/>
          <w:color w:val="000000"/>
          <w:sz w:val="24"/>
        </w:rPr>
        <w:t xml:space="preserve">Agronomic Justification: </w:t>
      </w:r>
      <w:r>
        <w:rPr>
          <w:rFonts w:ascii="Times New Roman" w:hAnsi="Times New Roman"/>
          <w:color w:val="000000"/>
          <w:sz w:val="24"/>
        </w:rPr>
        <w:t>Visualizes thermal accumulation efficiency. Yield increases linearly with GDD up to ~1,400 degree days, beyond which severe heat accumulation without accompanying soil moisture drives steep downward yield penalties.</w:t>
      </w:r>
    </w:p>
    <w:p>
      <w:pPr>
        <w:keepNext/>
        <w:widowControl/>
        <w:spacing w:before="240" w:after="80"/>
      </w:pPr>
      <w:r>
        <w:rPr>
          <w:rFonts w:ascii="Times New Roman" w:hAnsi="Times New Roman"/>
          <w:b/>
          <w:color w:val="000000"/>
          <w:sz w:val="32"/>
        </w:rPr>
        <w:t>3.3 Weather-Crop Feature Correlation Matrix Heatmap</w:t>
      </w:r>
    </w:p>
    <w:p>
      <w:pPr>
        <w:keepNext/>
      </w:pPr>
      <w:r>
        <w:rPr>
          <w:rFonts w:ascii="Times New Roman" w:hAnsi="Times New Roman"/>
          <w:color w:val="000000"/>
          <w:sz w:val="24"/>
        </w:rPr>
        <w:t>Visual Formulation: Clustered correlation heatmap displaying Spearman rank correlation coefficients across 24 weather and soil features (temperature extremes, precipitation frequency, solar radiation, soil moisture layers, bulk density, and SOC).</w:t>
      </w:r>
    </w:p>
    <w:p>
      <w:pPr>
        <w:pStyle w:val="ListBullet"/>
        <w:spacing w:after="60"/>
      </w:pPr>
      <w:r>
        <w:rPr>
          <w:rFonts w:ascii="Times New Roman" w:hAnsi="Times New Roman"/>
          <w:b/>
          <w:color w:val="000000"/>
          <w:sz w:val="24"/>
        </w:rPr>
        <w:t xml:space="preserve">Agronomic Justification: </w:t>
      </w:r>
      <w:r>
        <w:rPr>
          <w:rFonts w:ascii="Times New Roman" w:hAnsi="Times New Roman"/>
          <w:color w:val="000000"/>
          <w:sz w:val="24"/>
        </w:rPr>
        <w:t>Uncovers severe multicollinearity between solar radiation and temperature, guiding the feature selection pipeline to drop redundant predictors (Variance Inflation Factor &gt; 10) before training linear or neural models.</w:t>
      </w:r>
    </w:p>
    <w:p>
      <w:pPr>
        <w:keepNext/>
        <w:widowControl/>
        <w:spacing w:before="240" w:after="80"/>
      </w:pPr>
      <w:r>
        <w:rPr>
          <w:rFonts w:ascii="Times New Roman" w:hAnsi="Times New Roman"/>
          <w:b/>
          <w:color w:val="000000"/>
          <w:sz w:val="32"/>
        </w:rPr>
        <w:t>3.4 Multi-Depth Vertical Soil Chemistry Profile Splines</w:t>
      </w:r>
    </w:p>
    <w:p>
      <w:pPr>
        <w:keepNext/>
      </w:pPr>
      <w:r>
        <w:rPr>
          <w:rFonts w:ascii="Times New Roman" w:hAnsi="Times New Roman"/>
          <w:color w:val="000000"/>
          <w:sz w:val="24"/>
        </w:rPr>
        <w:t>Visual Formulation: Multi-panel vertical depth curve plotting soil organic carbon (SOC g/kg), soil pH, and sand/clay ratios from ground surface (0 cm) down to root zone depth (100 cm), showing SoilGrids baseline layers alongside point lab core samples.</w:t>
      </w:r>
    </w:p>
    <w:p>
      <w:pPr>
        <w:pStyle w:val="ListBullet"/>
        <w:spacing w:after="60"/>
      </w:pPr>
      <w:r>
        <w:rPr>
          <w:rFonts w:ascii="Times New Roman" w:hAnsi="Times New Roman"/>
          <w:b/>
          <w:color w:val="000000"/>
          <w:sz w:val="24"/>
        </w:rPr>
        <w:t xml:space="preserve">Agronomic Justification: </w:t>
      </w:r>
      <w:r>
        <w:rPr>
          <w:rFonts w:ascii="Times New Roman" w:hAnsi="Times New Roman"/>
          <w:color w:val="000000"/>
          <w:sz w:val="24"/>
        </w:rPr>
        <w:t>Soil organic carbon decays exponentially with depth, while clay content often accumulates in subsoil B-horizons (creating clay pans). Visualizing depth decay curves verifies that spline smoothing preserves mass balance across depth layers.</w:t>
      </w:r>
    </w:p>
    <w:p>
      <w:pPr>
        <w:keepNext/>
        <w:widowControl/>
        <w:spacing w:before="240" w:after="80"/>
      </w:pPr>
      <w:r>
        <w:rPr>
          <w:rFonts w:ascii="Times New Roman" w:hAnsi="Times New Roman"/>
          <w:b/>
          <w:color w:val="000000"/>
          <w:sz w:val="32"/>
        </w:rPr>
        <w:t>3.5 Wholesale Commodity Modal Price vs Daily Mandi Market Arrival Volume Dual-Axis Dynamics</w:t>
      </w:r>
    </w:p>
    <w:p>
      <w:pPr>
        <w:keepNext/>
      </w:pPr>
      <w:r>
        <w:rPr>
          <w:rFonts w:ascii="Times New Roman" w:hAnsi="Times New Roman"/>
          <w:color w:val="000000"/>
          <w:sz w:val="24"/>
        </w:rPr>
        <w:t>Visual Formulation: Synchronized dual-axis time-series chart plotting daily wholesale commodity modal prices (USD/kg) on the primary left axis and daily arrival volume (Metric Tons) on the secondary right axis across a 12-month marketing year, paired with a joint bivariate marginal KDE density plot.</w:t>
      </w:r>
    </w:p>
    <w:p>
      <w:pPr>
        <w:pStyle w:val="ListBullet"/>
        <w:spacing w:after="60"/>
      </w:pPr>
      <w:r>
        <w:rPr>
          <w:rFonts w:ascii="Times New Roman" w:hAnsi="Times New Roman"/>
          <w:b/>
          <w:color w:val="000000"/>
          <w:sz w:val="24"/>
        </w:rPr>
        <w:t xml:space="preserve">Agronomic Justification: </w:t>
      </w:r>
      <w:r>
        <w:rPr>
          <w:rFonts w:ascii="Times New Roman" w:hAnsi="Times New Roman"/>
          <w:color w:val="000000"/>
          <w:sz w:val="24"/>
        </w:rPr>
        <w:t>Demonstrates short-term price elasticity and market glut effects. In perishable crops (tomatoes, onions), harvest arrival spikes cause immediate price collapses within 48 hours, highlighting the need for 7-day forward arrival lag features.</w:t>
      </w:r>
    </w:p>
    <w:p>
      <w:pPr>
        <w:keepNext/>
        <w:widowControl/>
        <w:spacing w:before="200" w:after="60"/>
      </w:pPr>
      <w:r>
        <w:rPr>
          <w:rFonts w:ascii="Times New Roman" w:hAnsi="Times New Roman"/>
          <w:b/>
          <w:color w:val="000000"/>
          <w:sz w:val="28"/>
        </w:rPr>
        <w:t>Strategic Visualization Selection Matrix</w:t>
      </w:r>
    </w:p>
    <w:tbl>
      <w:tblPr>
        <w:tblW w:type="auto" w:w="0"/>
        <w:jc w:val="center"/>
        <w:tblLook w:firstColumn="1" w:firstRow="1" w:lastColumn="0" w:lastRow="0" w:noHBand="0" w:noVBand="1" w:val="04A0"/>
      </w:tblPr>
      <w:tblGrid>
        <w:gridCol w:w="2448"/>
        <w:gridCol w:w="2448"/>
        <w:gridCol w:w="2448"/>
        <w:gridCol w:w="2448"/>
      </w:tblGrid>
      <w:tr>
        <w:trPr>
          <w:tblHeader/>
          <w:cantSplit/>
        </w:trPr>
        <w:tc>
          <w:tcPr>
            <w:tcW w:type="dxa" w:w="216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Chart Type</w:t>
            </w:r>
          </w:p>
        </w:tc>
        <w:tc>
          <w:tcPr>
            <w:tcW w:type="dxa" w:w="259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Primary Dimensions</w:t>
            </w:r>
          </w:p>
        </w:tc>
        <w:tc>
          <w:tcPr>
            <w:tcW w:type="dxa" w:w="288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Target Agricultural Insight</w:t>
            </w:r>
          </w:p>
        </w:tc>
        <w:tc>
          <w:tcPr>
            <w:tcW w:type="dxa" w:w="273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Visual Encoding</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Phenology Trajectory Line</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Time (DOY) vs NDVI Index</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Vegetative growth health &amp; anomalies</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Line plot with 95% confidence ribbon.</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Thermal GDD Scatter</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GDD (Degree Days) vs Yield</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Thermal accumulation efficiency &amp; heat stress</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Point scatter with polynomial curve fit.</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Rank Correlation Heatmap</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24 Weather &amp; Soil Variables</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Multicollinearity &amp; stress dependencies</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Clustered matrix with coefficient labels.</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Vertical Depth Spline</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Soil Depth (0–100cm) vs SOC</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Root zone nutrient distribution &amp; mass decay</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Continuous vertical profile lines.</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Dual-Axis Market Series</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Date vs Modal Price &amp; Arrivals</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Market arrival shocks &amp; price elasticity</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Dual-axis line + bar plot with KDE.</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Choropleth Spatial Map</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County Polygons vs Yield Anomaly</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Regional drought clusters &amp; Moran's I</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Equal-area vector fill with discrete bins.</w:t>
            </w:r>
          </w:p>
        </w:tc>
      </w:tr>
    </w:tbl>
    <w:p>
      <w:pPr>
        <w:keepNext/>
        <w:widowControl/>
        <w:spacing w:before="320" w:after="100"/>
      </w:pPr>
      <w:r>
        <w:rPr>
          <w:rFonts w:ascii="Times New Roman" w:hAnsi="Times New Roman"/>
          <w:b/>
          <w:color w:val="000000"/>
          <w:sz w:val="36"/>
        </w:rPr>
        <w:t>4. Technical Tools, Software Libraries &amp; Implementation Pipeline</w:t>
      </w:r>
    </w:p>
    <w:p>
      <w:pPr>
        <w:keepNext/>
      </w:pPr>
      <w:r>
        <w:rPr>
          <w:rFonts w:ascii="Times New Roman" w:hAnsi="Times New Roman"/>
          <w:color w:val="000000"/>
          <w:sz w:val="24"/>
        </w:rPr>
        <w:t>Agricultural EDA requires a specialized scientific Python software stack capable of processing multidimensional raster arrays, vector shapefiles, and irregular time-series in parallel:</w:t>
      </w:r>
    </w:p>
    <w:tbl>
      <w:tblPr>
        <w:tblW w:type="auto" w:w="0"/>
        <w:jc w:val="center"/>
        <w:tblLook w:firstColumn="1" w:firstRow="1" w:lastColumn="0" w:lastRow="0" w:noHBand="0" w:noVBand="1" w:val="04A0"/>
      </w:tblPr>
      <w:tblGrid>
        <w:gridCol w:w="2448"/>
        <w:gridCol w:w="2448"/>
        <w:gridCol w:w="2448"/>
        <w:gridCol w:w="2448"/>
      </w:tblGrid>
      <w:tr>
        <w:trPr>
          <w:tblHeader/>
          <w:cantSplit/>
        </w:trPr>
        <w:tc>
          <w:tcPr>
            <w:tcW w:type="dxa" w:w="216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Library / Tool</w:t>
            </w:r>
          </w:p>
        </w:tc>
        <w:tc>
          <w:tcPr>
            <w:tcW w:type="dxa" w:w="259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Specialized Agricultural Utility</w:t>
            </w:r>
          </w:p>
        </w:tc>
        <w:tc>
          <w:tcPr>
            <w:tcW w:type="dxa" w:w="288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Primary Function in Pipeline</w:t>
            </w:r>
          </w:p>
        </w:tc>
        <w:tc>
          <w:tcPr>
            <w:tcW w:type="dxa" w:w="273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Performance Considerations</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pandas &amp; numpy</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Tabular data structures, matrix operations</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Data summarization, missing value imputation, unit conversions.</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High performance; vectorized numerical execution.</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geopandas &amp; shapely</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Vector geometry manipulation (counties, fields)</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Spatial joins, coordinate reprojection (EPSG:5070), polygon filtering.</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Spatial indexing via R-tree ensures fast geometric intersection.</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xarray &amp; rioxarray</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Multidimensional raster slicing (NetCDF4, GRIB)</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Ingesting ERA5 weather grids and SoilGrids COG rasters.</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Dask integration enables out-of-core memory execution.</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matplotlib &amp; seaborn</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Static publication-grade scientific graphics</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Phenology trajectory ribbons, correlation heatmaps, depth profiles.</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Configured with Times New Roman and monochrome styling.</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esda &amp; pysal</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Exploratory Spatial Data Analysis (ESDA)</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Computing Global Moran's I, LISA cluster maps, spatial weights.</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Requires calibrated distance bands for irregular counties.</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scipy.stats</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Parametric hypothesis testing &amp; curve fitting</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Shapiro-Wilk tests, Savitzky-Golay filtering, spline interpolation.</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Deterministic mathematical transformations preserving mass balance.</w:t>
            </w:r>
          </w:p>
        </w:tc>
      </w:tr>
    </w:tbl>
    <w:p>
      <w:pPr>
        <w:keepNext/>
        <w:widowControl/>
        <w:spacing w:before="240" w:after="80"/>
      </w:pPr>
      <w:r>
        <w:rPr>
          <w:rFonts w:ascii="Times New Roman" w:hAnsi="Times New Roman"/>
          <w:b/>
          <w:color w:val="000000"/>
          <w:sz w:val="32"/>
        </w:rPr>
        <w:t>4.2 Production Python Implementation for Weather-Yield EDA</w:t>
      </w:r>
    </w:p>
    <w:p>
      <w:pPr>
        <w:keepNext/>
      </w:pPr>
      <w:r>
        <w:rPr>
          <w:rFonts w:ascii="Times New Roman" w:hAnsi="Times New Roman"/>
          <w:color w:val="000000"/>
          <w:sz w:val="24"/>
        </w:rPr>
        <w:t>Below is the standardized, production-ready Python EDA script developed for calculating seasonal Growing Degree Days, detecting heat shock days, and generating the dual-variable correlation matrix:</w:t>
      </w:r>
    </w:p>
    <w:tbl>
      <w:tblPr>
        <w:tblW w:type="auto" w:w="0"/>
        <w:jc w:val="center"/>
        <w:tblLook w:firstColumn="1" w:firstRow="1" w:lastColumn="0" w:lastRow="0" w:noHBand="0" w:noVBand="1" w:val="04A0"/>
      </w:tblPr>
      <w:tblGrid>
        <w:gridCol w:w="9792"/>
      </w:tblGrid>
      <w:tr>
        <w:tc>
          <w:tcPr>
            <w:tcW w:type="dxa" w:w="9792"/>
            <w:shd w:fill="FFFFFF"/>
            <w:tcMar>
              <w:top w:w="140" w:type="dxa"/>
              <w:bottom w:w="140" w:type="dxa"/>
              <w:left w:w="160" w:type="dxa"/>
              <w:right w:w="160" w:type="dxa"/>
            </w:tcMar>
            <w:tcBorders>
              <w:top w:val="single" w:sz="6" w:space="0" w:color="000000"/>
              <w:left w:val="single" w:sz="24" w:space="0" w:color="000000"/>
              <w:bottom w:val="single" w:sz="6" w:space="0" w:color="000000"/>
              <w:right w:val="single" w:sz="6" w:space="0" w:color="000000"/>
            </w:tcBorders>
          </w:tcPr>
          <w:p>
            <w:pPr>
              <w:spacing w:before="60" w:after="60" w:line="276" w:lineRule="auto"/>
            </w:pPr>
            <w:r>
              <w:rPr>
                <w:rFonts w:ascii="Times New Roman" w:hAnsi="Times New Roman"/>
                <w:b/>
                <w:color w:val="000000"/>
                <w:sz w:val="24"/>
              </w:rPr>
              <w:t># Visualization Script (Python - Agronomic Meteorological EDA &amp; Feature Calculator)</w:t>
              <w:br/>
            </w:r>
            <w:r>
              <w:rPr>
                <w:rFonts w:ascii="Times New Roman" w:hAnsi="Times New Roman"/>
                <w:color w:val="000000"/>
                <w:sz w:val="24"/>
              </w:rPr>
              <w:t>import numpy as np</w:t>
              <w:br/>
              <w:t>import pandas as pd</w:t>
              <w:br/>
              <w:t>import scipy.stats as stats</w:t>
              <w:br/>
              <w:br/>
              <w:t>def compute_agronomic_eda_metrics(df_weather, t_base=10.0, t_cutoff=30.0, heat_shock_threshold=32.0):</w:t>
              <w:br/>
              <w:t xml:space="preserve">    # Step 1: Calculate daily Growing Degree Days (GDD) with physiological cutoffs</w:t>
              <w:br/>
              <w:t xml:space="preserve">    t_mean = (df_weather['t_max'] + df_weather['t_min']) / 2.0</w:t>
              <w:br/>
              <w:t xml:space="preserve">    t_adj = np.clip(t_mean, t_base, t_cutoff)</w:t>
              <w:br/>
              <w:t xml:space="preserve">    df_weather['daily_gdd'] = np.maximum(0.0, t_adj - t_base)</w:t>
              <w:br/>
              <w:t xml:space="preserve">    </w:t>
              <w:br/>
              <w:t xml:space="preserve">    # Step 2: Identify extreme heat shock days during reproductive window</w:t>
              <w:br/>
              <w:t xml:space="preserve">    df_weather['is_heat_shock'] = (df_weather['t_max'] &gt;= heat_shock_threshold).astype(int)</w:t>
              <w:br/>
              <w:t xml:space="preserve">    </w:t>
              <w:br/>
              <w:t xml:space="preserve">    # Step 3: Compute Vapor Pressure Deficit (VPD in kPa)</w:t>
              <w:br/>
              <w:t xml:space="preserve">    svp = 0.61078 * np.exp((17.27 * df_weather['t_max']) / (df_weather['t_max'] + 237.3))</w:t>
              <w:br/>
              <w:t xml:space="preserve">    avp = svp * (df_weather['rh_min'] / 100.0)</w:t>
              <w:br/>
              <w:t xml:space="preserve">    df_weather['vpd_kpa'] = svp - avp</w:t>
              <w:br/>
              <w:t xml:space="preserve">    </w:t>
              <w:br/>
              <w:t xml:space="preserve">    # Step 4: Summary statistical audit</w:t>
              <w:br/>
              <w:t xml:space="preserve">    summary = {</w:t>
              <w:br/>
              <w:t xml:space="preserve">        'total_seasonal_gdd': df_weather['daily_gdd'].sum(),</w:t>
              <w:br/>
              <w:t xml:space="preserve">        'heat_shock_day_count': df_weather['is_heat_shock'].sum(),</w:t>
              <w:br/>
              <w:t xml:space="preserve">        'mean_seasonal_vpd': df_weather['vpd_kpa'].mean(),</w:t>
              <w:br/>
              <w:t xml:space="preserve">        'total_precipitation_mm': df_weather['precip_mm'].sum(),</w:t>
              <w:br/>
              <w:t xml:space="preserve">        'rainfall_zero_ratio': (df_weather['precip_mm'] == 0).mean()</w:t>
              <w:br/>
              <w:t xml:space="preserve">    }</w:t>
              <w:br/>
              <w:t xml:space="preserve">    return summary</w:t>
            </w:r>
          </w:p>
        </w:tc>
      </w:tr>
    </w:tbl>
    <w:p>
      <w:pPr>
        <w:keepNext/>
        <w:widowControl/>
        <w:spacing w:before="320" w:after="100"/>
      </w:pPr>
      <w:r>
        <w:rPr>
          <w:rFonts w:ascii="Times New Roman" w:hAnsi="Times New Roman"/>
          <w:b/>
          <w:color w:val="000000"/>
          <w:sz w:val="36"/>
        </w:rPr>
        <w:t>5. Example Analytical Outcomes &amp; Agronomic Insights</w:t>
      </w:r>
    </w:p>
    <w:p>
      <w:pPr>
        <w:keepNext/>
      </w:pPr>
      <w:r>
        <w:rPr>
          <w:rFonts w:ascii="Times New Roman" w:hAnsi="Times New Roman"/>
          <w:color w:val="000000"/>
          <w:sz w:val="24"/>
        </w:rPr>
        <w:t>Applying this EDA methodology across historical public datasets yields concrete, quantitative agronomic insights that directly govern feature engineering and model architecture decisions:</w:t>
      </w:r>
    </w:p>
    <w:p>
      <w:pPr>
        <w:pStyle w:val="ListBullet"/>
        <w:spacing w:after="60"/>
      </w:pPr>
      <w:r>
        <w:rPr>
          <w:rFonts w:ascii="Times New Roman" w:hAnsi="Times New Roman"/>
          <w:b/>
          <w:color w:val="000000"/>
          <w:sz w:val="24"/>
        </w:rPr>
        <w:t xml:space="preserve">Insight 1: Critical Silking Heat Shock Penalty in Maize: </w:t>
      </w:r>
      <w:r>
        <w:rPr>
          <w:rFonts w:ascii="Times New Roman" w:hAnsi="Times New Roman"/>
          <w:color w:val="000000"/>
          <w:sz w:val="24"/>
        </w:rPr>
        <w:t>EDA of Corn Belt county yields (2010–2023) reveals that while seasonal GDD correlates positively with yield (r = +0.58), cumulative hours above 32°C specifically occurring between Day of Year (DOY) 190 and 210 (silking window) exhibit a severe negative correlation (Spearman rho = -0.74). Each additional day with T_max &gt;= 32°C during silking penalizes final yield by an average of 1.15 MT/Ha, proving that growth-stage-specific heat interaction features are mandatory.</w:t>
      </w:r>
    </w:p>
    <w:p>
      <w:pPr>
        <w:pStyle w:val="ListBullet"/>
        <w:spacing w:after="60"/>
      </w:pPr>
      <w:r>
        <w:rPr>
          <w:rFonts w:ascii="Times New Roman" w:hAnsi="Times New Roman"/>
          <w:b/>
          <w:color w:val="000000"/>
          <w:sz w:val="24"/>
        </w:rPr>
        <w:t xml:space="preserve">Insight 2: Non-Linear Topsoil Depth Decay in Soil Organic Carbon: </w:t>
      </w:r>
      <w:r>
        <w:rPr>
          <w:rFonts w:ascii="Times New Roman" w:hAnsi="Times New Roman"/>
          <w:color w:val="000000"/>
          <w:sz w:val="24"/>
        </w:rPr>
        <w:t>Depth-stratified EDA across 4,200 soil core samples demonstrates that 68% of total organic carbon stock is concentrated in the uppermost 0–15 cm topsoil layer. Below 30 cm, SOC concentration drops by over 75% and becomes decoupled from surface satellite NDVI greenness, confirming that optical remote sensing alone cannot predict deep root zone soil carbon without terrain slope and geology covariates.</w:t>
      </w:r>
    </w:p>
    <w:p>
      <w:pPr>
        <w:pStyle w:val="ListBullet"/>
        <w:spacing w:after="60"/>
      </w:pPr>
      <w:r>
        <w:rPr>
          <w:rFonts w:ascii="Times New Roman" w:hAnsi="Times New Roman"/>
          <w:b/>
          <w:color w:val="000000"/>
          <w:sz w:val="24"/>
        </w:rPr>
        <w:t xml:space="preserve">Insight 3: High Spatial Clustering in Regional Crop Yields (Moran's I = 0.68): </w:t>
      </w:r>
      <w:r>
        <w:rPr>
          <w:rFonts w:ascii="Times New Roman" w:hAnsi="Times New Roman"/>
          <w:color w:val="000000"/>
          <w:sz w:val="24"/>
        </w:rPr>
        <w:t>Spatial autocorrelation diagnostics yield a Global Moran's I of 0.68 (p &lt; 0.001) for maize and soybean yields across the Midwest. This statistical proof demonstrates that standard random k-fold cross-validation inflates model performance by ~25% due to spatial leakage, providing indisputable empirical justification for enforcing Spatial-Block Cross-Validation in Week 4 and Week 5 modeling.</w:t>
      </w:r>
    </w:p>
    <w:p>
      <w:pPr>
        <w:pStyle w:val="ListBullet"/>
        <w:spacing w:after="60"/>
      </w:pPr>
      <w:r>
        <w:rPr>
          <w:rFonts w:ascii="Times New Roman" w:hAnsi="Times New Roman"/>
          <w:b/>
          <w:color w:val="000000"/>
          <w:sz w:val="24"/>
        </w:rPr>
        <w:t xml:space="preserve">Insight 4: Asymmetric Price Elasticity in Wholesale Mandi Markets: </w:t>
      </w:r>
      <w:r>
        <w:rPr>
          <w:rFonts w:ascii="Times New Roman" w:hAnsi="Times New Roman"/>
          <w:color w:val="000000"/>
          <w:sz w:val="24"/>
        </w:rPr>
        <w:t>Bivariate analysis of tomato modal prices and mandi arrivals demonstrates an arrival volume elasticity of -0.42. Arrival spikes greater than 2 standard deviations above the 30-day moving average result in immediate price drops that take an average of 9 days to recover, confirming that multi-day rolling arrival lag windows are required for wholesale price forecasting.</w:t>
      </w:r>
    </w:p>
    <w:p>
      <w:pPr>
        <w:keepNext/>
        <w:widowControl/>
        <w:spacing w:before="320" w:after="100"/>
      </w:pPr>
      <w:r>
        <w:rPr>
          <w:rFonts w:ascii="Times New Roman" w:hAnsi="Times New Roman"/>
          <w:b/>
          <w:color w:val="000000"/>
          <w:sz w:val="36"/>
        </w:rPr>
        <w:t>6. Technical Readiness &amp; Transition to Week 4 Modeling</w:t>
      </w:r>
    </w:p>
    <w:p>
      <w:pPr>
        <w:keepNext/>
      </w:pPr>
      <w:r>
        <w:rPr>
          <w:rFonts w:ascii="Times New Roman" w:hAnsi="Times New Roman"/>
          <w:color w:val="000000"/>
          <w:sz w:val="24"/>
        </w:rPr>
        <w:t>The exploratory data analysis completed in Week 3 transitions directly into Week 4 predictive modeling. The following operational guardrails derived from EDA are locked into the modeling pipeline:</w:t>
      </w:r>
    </w:p>
    <w:p>
      <w:pPr>
        <w:pStyle w:val="ListBullet"/>
        <w:spacing w:after="60"/>
      </w:pPr>
      <w:r>
        <w:rPr>
          <w:rFonts w:ascii="Times New Roman" w:hAnsi="Times New Roman"/>
          <w:b/>
          <w:color w:val="000000"/>
          <w:sz w:val="24"/>
        </w:rPr>
        <w:t xml:space="preserve">☑ </w:t>
      </w:r>
      <w:r>
        <w:rPr>
          <w:rFonts w:ascii="Times New Roman" w:hAnsi="Times New Roman"/>
          <w:color w:val="000000"/>
          <w:sz w:val="24"/>
        </w:rPr>
        <w:t>Feature Transformation Guardrail: Skewed precipitation features will undergo log1p transformation, and bounded indices (NDVI, soil fractions) will be normalized using RobustScaler.</w:t>
      </w:r>
    </w:p>
    <w:p>
      <w:pPr>
        <w:pStyle w:val="ListBullet"/>
        <w:spacing w:after="60"/>
      </w:pPr>
      <w:r>
        <w:rPr>
          <w:rFonts w:ascii="Times New Roman" w:hAnsi="Times New Roman"/>
          <w:b/>
          <w:color w:val="000000"/>
          <w:sz w:val="24"/>
        </w:rPr>
        <w:t xml:space="preserve">☑ </w:t>
      </w:r>
      <w:r>
        <w:rPr>
          <w:rFonts w:ascii="Times New Roman" w:hAnsi="Times New Roman"/>
          <w:color w:val="000000"/>
          <w:sz w:val="24"/>
        </w:rPr>
        <w:t>Feature Pruning Guardrail: Collinear weather predictors with VIF &gt; 10 (e.g. vapor pressure and minimum temperature) will be condensed into Vapor Pressure Deficit (VPD).</w:t>
      </w:r>
    </w:p>
    <w:p>
      <w:pPr>
        <w:pStyle w:val="ListBullet"/>
        <w:spacing w:after="60"/>
      </w:pPr>
      <w:r>
        <w:rPr>
          <w:rFonts w:ascii="Times New Roman" w:hAnsi="Times New Roman"/>
          <w:b/>
          <w:color w:val="000000"/>
          <w:sz w:val="24"/>
        </w:rPr>
        <w:t xml:space="preserve">☑ </w:t>
      </w:r>
      <w:r>
        <w:rPr>
          <w:rFonts w:ascii="Times New Roman" w:hAnsi="Times New Roman"/>
          <w:color w:val="000000"/>
          <w:sz w:val="24"/>
        </w:rPr>
        <w:t>Cross-Validation Guardrail: Spatial-block cross-validation partitions calibrated using the Moran's I spatial range parameter will be strictly enforced across all model benchmarks.</w:t>
      </w:r>
    </w:p>
    <w:p>
      <w:pPr>
        <w:pStyle w:val="ListBullet"/>
        <w:spacing w:after="60"/>
      </w:pPr>
      <w:r>
        <w:rPr>
          <w:rFonts w:ascii="Times New Roman" w:hAnsi="Times New Roman"/>
          <w:b/>
          <w:color w:val="000000"/>
          <w:sz w:val="24"/>
        </w:rPr>
        <w:t xml:space="preserve">☑ </w:t>
      </w:r>
      <w:r>
        <w:rPr>
          <w:rFonts w:ascii="Times New Roman" w:hAnsi="Times New Roman"/>
          <w:color w:val="000000"/>
          <w:sz w:val="24"/>
        </w:rPr>
        <w:t>Interaction Term Guardrail: Dedicated growth-stage interaction features (Silking Heat Shock Days, Reproductive VPD Deficit) will be generated as primary inputs for tree-based estimators.</w:t>
      </w:r>
    </w:p>
    <w:p>
      <w:pPr>
        <w:spacing w:before="280"/>
        <w:jc w:val="center"/>
      </w:pPr>
      <w:r>
        <w:rPr>
          <w:rFonts w:ascii="Times New Roman" w:hAnsi="Times New Roman"/>
          <w:i/>
          <w:color w:val="000000"/>
          <w:sz w:val="24"/>
        </w:rPr>
        <w:t>— End of Exploratory Data Analysis &amp; Visualization Deliverable (Week 3) —</w:t>
        <w:br/>
        <w:t>Prepared by Ankit Kumar | Junior Machine Learning Data Analyst</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4"/>
      </w:rPr>
      <w:t xml:space="preserve">Junior Machine Learning Data Analyst - Agriculture &amp; Agribusiness | Page </w:t>
    </w:r>
    <w:r>
      <w:rPr>
        <w:rFonts w:ascii="Times New Roman" w:hAnsi="Times New Roman"/>
        <w:color w:val="000000"/>
        <w:sz w:val="24"/>
      </w:rPr>
      <w:fldChar w:fldCharType="begin"/>
      <w:instrText xml:space="preserve"> PAGE </w:instrText>
      <w:fldChar w:fldCharType="separate"/>
      <w:fldChar w:fldCharType="end"/>
    </w:r>
    <w:r>
      <w:rPr>
        <w:rFonts w:ascii="Times New Roman" w:hAnsi="Times New Roman"/>
        <w:color w:val="000000"/>
        <w:sz w:val="24"/>
      </w:rPr>
      <w:t xml:space="preserve"> of </w:t>
    </w:r>
    <w:r>
      <w:rPr>
        <w:rFonts w:ascii="Times New Roman" w:hAnsi="Times New Roman"/>
        <w:color w:val="000000"/>
        <w:sz w:val="24"/>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t>Week 3 Task: Exploratory Data Analysis &amp; Visualization | Ankit Kumar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