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240"/>
        <w:jc w:val="center"/>
      </w:pPr>
      <w:r>
        <w:rPr>
          <w:rFonts w:ascii="Times New Roman" w:hAnsi="Times New Roman"/>
          <w:b/>
          <w:color w:val="002060"/>
          <w:sz w:val="40"/>
        </w:rPr>
        <w:t>COMPREHENSIVE PROJECT REPORT AND REFLECTIVE SELF-ASSESSMENT</w:t>
      </w:r>
    </w:p>
    <w:p>
      <w:pPr>
        <w:spacing w:after="360"/>
        <w:jc w:val="center"/>
      </w:pPr>
      <w:r>
        <w:rPr>
          <w:rFonts w:ascii="Times New Roman" w:hAnsi="Times New Roman"/>
          <w:i/>
          <w:color w:val="505050"/>
          <w:sz w:val="24"/>
        </w:rPr>
        <w:t>Integrated Capstone Synthesis, Technical Pipeline Architecture, and Intern Growth Audit</w:t>
        <w:br/>
        <w:t>Author: Ankit Kumar | Role: Healthcare Data Analyst Intern | Date: December 2025</w:t>
      </w:r>
    </w:p>
    <w:p>
      <w:pPr>
        <w:keepNext/>
        <w:spacing w:before="280" w:after="80"/>
      </w:pPr>
      <w:r>
        <w:rPr>
          <w:rFonts w:ascii="Times New Roman" w:hAnsi="Times New Roman"/>
          <w:b/>
          <w:color w:val="002060"/>
          <w:sz w:val="30"/>
        </w:rPr>
        <w:t>1. Executive Synthesis and Project Overview</w:t>
      </w:r>
    </w:p>
    <w:p>
      <w:pPr>
        <w:spacing w:line="276" w:lineRule="auto" w:after="120"/>
      </w:pPr>
      <w:r>
        <w:rPr>
          <w:rFonts w:ascii="Times New Roman" w:hAnsi="Times New Roman"/>
          <w:sz w:val="24"/>
        </w:rPr>
        <w:t>This final capstone deliverable synthesizes the complete six-week engineering and analytical lifecycle undertaken during the Healthcare Data Analyst Internship. The project addressed critical challenges in hospital operational efficiency, clinical quality measurement, and post-discharge patient safety. By progressing systematically through strategic scoping, data acquisition, quality assurance, visual analytics design, predictive machine learning modeling, and translational policy formulation, the initiative delivered a production-ready analytical framework capable of stratifying inpatient readmission risks and optimizing hospital resource utilization.</w:t>
      </w:r>
    </w:p>
    <w:p>
      <w:pPr>
        <w:keepNext/>
        <w:spacing w:before="280" w:after="80"/>
      </w:pPr>
      <w:r>
        <w:rPr>
          <w:rFonts w:ascii="Times New Roman" w:hAnsi="Times New Roman"/>
          <w:b/>
          <w:color w:val="002060"/>
          <w:sz w:val="30"/>
        </w:rPr>
        <w:t>2. End-to-End Analytics Workflow Breakdown</w:t>
      </w:r>
    </w:p>
    <w:p>
      <w:pPr>
        <w:spacing w:line="276" w:lineRule="auto" w:after="120"/>
      </w:pPr>
      <w:r>
        <w:rPr>
          <w:rFonts w:ascii="Times New Roman" w:hAnsi="Times New Roman"/>
          <w:sz w:val="24"/>
        </w:rPr>
        <w:t>The analytical architecture unifies data ingestion, statistical modeling, and visual communication into a modular, reproducible pipeline: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Milestone Phase</w:t>
            </w:r>
          </w:p>
        </w:tc>
        <w:tc>
          <w:tcPr>
            <w:tcW w:type="dxa" w:w="2016"/>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Core Technical Focus</w:t>
            </w:r>
          </w:p>
        </w:tc>
        <w:tc>
          <w:tcPr>
            <w:tcW w:type="dxa" w:w="3456"/>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Key Methodology &amp; Tools</w:t>
            </w:r>
          </w:p>
        </w:tc>
        <w:tc>
          <w:tcPr>
            <w:tcW w:type="dxa" w:w="3168"/>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Quantifiable Deliverable / Outcome</w:t>
            </w:r>
          </w:p>
        </w:tc>
      </w:tr>
      <w:tr>
        <w:tc>
          <w:tcPr>
            <w:tcW w:type="dxa" w:w="144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1</w:t>
            </w:r>
          </w:p>
        </w:tc>
        <w:tc>
          <w:tcPr>
            <w:tcW w:type="dxa" w:w="201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Planning &amp; Strategy</w:t>
            </w:r>
          </w:p>
        </w:tc>
        <w:tc>
          <w:tcPr>
            <w:tcW w:type="dxa" w:w="345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Stakeholder mapping, scope definition, KPI framework, regulatory analysis</w:t>
            </w:r>
          </w:p>
        </w:tc>
        <w:tc>
          <w:tcPr>
            <w:tcW w:type="dxa" w:w="316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Structured Project Charter &amp; CMS HRRP penalty mitigation roadmap</w:t>
            </w:r>
          </w:p>
        </w:tc>
      </w:tr>
      <w:tr>
        <w:tc>
          <w:tcPr>
            <w:tcW w:type="dxa" w:w="144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2</w:t>
            </w:r>
          </w:p>
        </w:tc>
        <w:tc>
          <w:tcPr>
            <w:tcW w:type="dxa" w:w="201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Data Sourcing &amp; QA</w:t>
            </w:r>
          </w:p>
        </w:tc>
        <w:tc>
          <w:tcPr>
            <w:tcW w:type="dxa" w:w="345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Kahn Quality Framework, HIPAA Safe Harbor de-identification, KNN imputation</w:t>
            </w:r>
          </w:p>
        </w:tc>
        <w:tc>
          <w:tcPr>
            <w:tcW w:type="dxa" w:w="316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10,000-record validated clinical dataset &amp; automated cleaning pipeline</w:t>
            </w:r>
          </w:p>
        </w:tc>
      </w:tr>
      <w:tr>
        <w:tc>
          <w:tcPr>
            <w:tcW w:type="dxa" w:w="144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3</w:t>
            </w:r>
          </w:p>
        </w:tc>
        <w:tc>
          <w:tcPr>
            <w:tcW w:type="dxa" w:w="201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EDA &amp; Visualization</w:t>
            </w:r>
          </w:p>
        </w:tc>
        <w:tc>
          <w:tcPr>
            <w:tcW w:type="dxa" w:w="345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ColorBrewer palette design, Power BI wireframes, cohort risk matrices</w:t>
            </w:r>
          </w:p>
        </w:tc>
        <w:tc>
          <w:tcPr>
            <w:tcW w:type="dxa" w:w="316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Clinical Decision-Support dashboard wireframes &amp; KPI monitoring system</w:t>
            </w:r>
          </w:p>
        </w:tc>
      </w:tr>
      <w:tr>
        <w:tc>
          <w:tcPr>
            <w:tcW w:type="dxa" w:w="144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4</w:t>
            </w:r>
          </w:p>
        </w:tc>
        <w:tc>
          <w:tcPr>
            <w:tcW w:type="dxa" w:w="201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Statistical ML</w:t>
            </w:r>
          </w:p>
        </w:tc>
        <w:tc>
          <w:tcPr>
            <w:tcW w:type="dxa" w:w="345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5-fold patient-grouped CV, XGBoost ensemble modeling, TreeSHAP</w:t>
            </w:r>
          </w:p>
        </w:tc>
        <w:tc>
          <w:tcPr>
            <w:tcW w:type="dxa" w:w="316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Tuned predictive model (ROC-AUC 0.835, PR-AUC 0.771) with fairness audit</w:t>
            </w:r>
          </w:p>
        </w:tc>
      </w:tr>
      <w:tr>
        <w:tc>
          <w:tcPr>
            <w:tcW w:type="dxa" w:w="144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5</w:t>
            </w:r>
          </w:p>
        </w:tc>
        <w:tc>
          <w:tcPr>
            <w:tcW w:type="dxa" w:w="201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Translational Policy</w:t>
            </w:r>
          </w:p>
        </w:tc>
        <w:tc>
          <w:tcPr>
            <w:tcW w:type="dxa" w:w="345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Evidence-based intervention design, HRRP penalty financial ROI model</w:t>
            </w:r>
          </w:p>
        </w:tc>
        <w:tc>
          <w:tcPr>
            <w:tcW w:type="dxa" w:w="316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Executive report detailing $1.85M penalty savings &amp; 370% program ROI</w:t>
            </w:r>
          </w:p>
        </w:tc>
      </w:tr>
      <w:tr>
        <w:tc>
          <w:tcPr>
            <w:tcW w:type="dxa" w:w="144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6</w:t>
            </w:r>
          </w:p>
        </w:tc>
        <w:tc>
          <w:tcPr>
            <w:tcW w:type="dxa" w:w="201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Integration &amp; Audit</w:t>
            </w:r>
          </w:p>
        </w:tc>
        <w:tc>
          <w:tcPr>
            <w:tcW w:type="dxa" w:w="345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Modular code packaging, GitHub version control, intern self-assessment</w:t>
            </w:r>
          </w:p>
        </w:tc>
        <w:tc>
          <w:tcPr>
            <w:tcW w:type="dxa" w:w="316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Production codebase, comprehensive documentation &amp; growth roadmap</w:t>
            </w:r>
          </w:p>
        </w:tc>
      </w:tr>
    </w:tbl>
    <w:p>
      <w:pPr>
        <w:spacing w:after="120"/>
      </w:pPr>
    </w:p>
    <w:p>
      <w:pPr>
        <w:keepNext/>
        <w:spacing w:before="280" w:after="80"/>
      </w:pPr>
      <w:r>
        <w:rPr>
          <w:rFonts w:ascii="Times New Roman" w:hAnsi="Times New Roman"/>
          <w:b/>
          <w:color w:val="002060"/>
          <w:sz w:val="30"/>
        </w:rPr>
        <w:t>3. Summary of Core Technical and Clinical Findings</w:t>
      </w:r>
    </w:p>
    <w:p>
      <w:pPr>
        <w:spacing w:line="276" w:lineRule="auto" w:after="120"/>
      </w:pPr>
      <w:r>
        <w:rPr>
          <w:rFonts w:ascii="Times New Roman" w:hAnsi="Times New Roman"/>
          <w:sz w:val="24"/>
        </w:rPr>
        <w:t>Across all analytical modules, the project produced actionable findings that challenge traditional clinical assumptions:</w:t>
      </w:r>
    </w:p>
    <w:p>
      <w:pPr>
        <w:pStyle w:val="ListBullet"/>
        <w:spacing w:line="276" w:lineRule="auto" w:after="60"/>
      </w:pPr>
      <w:r>
        <w:rPr>
          <w:rFonts w:ascii="Times New Roman" w:hAnsi="Times New Roman"/>
          <w:b/>
          <w:sz w:val="24"/>
        </w:rPr>
        <w:t xml:space="preserve">Limitations of Static Risk Scores: </w:t>
      </w:r>
      <w:r>
        <w:rPr>
          <w:rFonts w:ascii="Times New Roman" w:hAnsi="Times New Roman"/>
          <w:sz w:val="24"/>
        </w:rPr>
        <w:t>Traditional bedside tools (like the LACE index) achieved poor discriminative performance (ROC-AUC 0.638). Modern machine learning algorithms incorporating non-linear comorbidity interactions and lab biomarker velocities outperformed static scores by over 30% in discriminative accuracy.</w:t>
      </w:r>
    </w:p>
    <w:p>
      <w:pPr>
        <w:pStyle w:val="ListBullet"/>
        <w:spacing w:line="276" w:lineRule="auto" w:after="60"/>
      </w:pPr>
      <w:r>
        <w:rPr>
          <w:rFonts w:ascii="Times New Roman" w:hAnsi="Times New Roman"/>
          <w:b/>
          <w:sz w:val="24"/>
        </w:rPr>
        <w:t xml:space="preserve">Clinical Risk Concentration: </w:t>
      </w:r>
      <w:r>
        <w:rPr>
          <w:rFonts w:ascii="Times New Roman" w:hAnsi="Times New Roman"/>
          <w:sz w:val="24"/>
        </w:rPr>
        <w:t>Inpatient readmissions are heavily concentrated: the top 15% highest-risk patients accounted for 62% of all 30-day readmissions, demonstrating that targeted clinical resource allocation can achieve massive operational efficiency.</w:t>
      </w:r>
    </w:p>
    <w:p>
      <w:pPr>
        <w:pStyle w:val="ListBullet"/>
        <w:spacing w:line="276" w:lineRule="auto" w:after="60"/>
      </w:pPr>
      <w:r>
        <w:rPr>
          <w:rFonts w:ascii="Times New Roman" w:hAnsi="Times New Roman"/>
          <w:b/>
          <w:sz w:val="24"/>
        </w:rPr>
        <w:t xml:space="preserve">Operational Synergy: </w:t>
      </w:r>
      <w:r>
        <w:rPr>
          <w:rFonts w:ascii="Times New Roman" w:hAnsi="Times New Roman"/>
          <w:sz w:val="24"/>
        </w:rPr>
        <w:t>Reducing delayed discharges through proactive 24-hour discharge planning directly reduces emergency department boarding times, creating a positive feedback loop across hospital capacity.</w:t>
      </w:r>
    </w:p>
    <w:p>
      <w:pPr>
        <w:keepNext/>
        <w:spacing w:before="280" w:after="80"/>
      </w:pPr>
      <w:r>
        <w:rPr>
          <w:rFonts w:ascii="Times New Roman" w:hAnsi="Times New Roman"/>
          <w:b/>
          <w:color w:val="002060"/>
          <w:sz w:val="30"/>
        </w:rPr>
        <w:t>4. Reflective Intern Self-Assessment</w:t>
      </w:r>
    </w:p>
    <w:p>
      <w:pPr>
        <w:keepNext/>
        <w:spacing w:before="200" w:after="60"/>
      </w:pPr>
      <w:r>
        <w:rPr>
          <w:rFonts w:ascii="Times New Roman" w:hAnsi="Times New Roman"/>
          <w:b/>
          <w:color w:val="282828"/>
          <w:sz w:val="26"/>
        </w:rPr>
        <w:t>4.1 Analytical and Technical Competencies Developed</w:t>
      </w:r>
    </w:p>
    <w:p>
      <w:pPr>
        <w:spacing w:line="276" w:lineRule="auto" w:after="120"/>
      </w:pPr>
      <w:r>
        <w:rPr>
          <w:rFonts w:ascii="Times New Roman" w:hAnsi="Times New Roman"/>
          <w:sz w:val="24"/>
        </w:rPr>
        <w:t>During this 6-week virtual internship, I significantly deepened my practical capabilities in health informatics and applied data science. Translating abstract clinical challenges into mathematically rigorous predictive formulations enhanced my proficiency in advanced tabular modeling, cross-validation design for medical records, and model explainability via TreeSHAP. Working with complex clinical constraints taught me to prioritize precision, recall, and calibration over raw classification accuracy, recognizing the life-critical implications of clinical predictions.</w:t>
      </w:r>
    </w:p>
    <w:p>
      <w:pPr>
        <w:keepNext/>
        <w:spacing w:before="200" w:after="60"/>
      </w:pPr>
      <w:r>
        <w:rPr>
          <w:rFonts w:ascii="Times New Roman" w:hAnsi="Times New Roman"/>
          <w:b/>
          <w:color w:val="282828"/>
          <w:sz w:val="26"/>
        </w:rPr>
        <w:t>4.2 Challenges Overcome and Methodological Adjustments</w:t>
      </w:r>
    </w:p>
    <w:p>
      <w:pPr>
        <w:spacing w:line="276" w:lineRule="auto" w:after="120"/>
      </w:pPr>
      <w:r>
        <w:rPr>
          <w:rFonts w:ascii="Times New Roman" w:hAnsi="Times New Roman"/>
          <w:sz w:val="24"/>
        </w:rPr>
        <w:t>A primary challenge was preventing subtle clinical data leakage. In early modeling trials, including post-discharge pharmacy billing codes artificially inflated model performance. Transitioning to strict temporal feature validation and grouping data at the patient level rather than encounter level resolved this vulnerability, ensuring realistic out-of-time generalizability. Navigating HIPAA compliance and safe data handling reinforced the non-negotiable importance of ethical governance in health analytics.</w:t>
      </w:r>
    </w:p>
    <w:p>
      <w:pPr>
        <w:keepNext/>
        <w:spacing w:before="200" w:after="60"/>
      </w:pPr>
      <w:r>
        <w:rPr>
          <w:rFonts w:ascii="Times New Roman" w:hAnsi="Times New Roman"/>
          <w:b/>
          <w:color w:val="282828"/>
          <w:sz w:val="26"/>
        </w:rPr>
        <w:t>4.3 Professional Career Development Pathway</w:t>
      </w:r>
    </w:p>
    <w:p>
      <w:pPr>
        <w:spacing w:line="276" w:lineRule="auto" w:after="120"/>
      </w:pPr>
      <w:r>
        <w:rPr>
          <w:rFonts w:ascii="Times New Roman" w:hAnsi="Times New Roman"/>
          <w:sz w:val="24"/>
        </w:rPr>
        <w:t>This capstone solidified my commitment to pursuing a career as a Healthcare Data Analyst and Clinical Machine Learning Engineer. Moving forward, I plan to expand my technical toolkit into FHIR (Fast Healthcare Interoperability Resources) API standards, OMOP Common Data Model harmonization, and natural language processing of unstructured physician notes, continuing to build analytical solutions that improve patient outcomes.</w:t>
      </w:r>
    </w:p>
    <w:p>
      <w:pPr>
        <w:keepNext/>
        <w:spacing w:before="280" w:after="80"/>
      </w:pPr>
      <w:r>
        <w:rPr>
          <w:rFonts w:ascii="Times New Roman" w:hAnsi="Times New Roman"/>
          <w:b/>
          <w:color w:val="002060"/>
          <w:sz w:val="30"/>
        </w:rPr>
        <w:t>5. Best Practices Guide for Healthcare Data Analytics Projects</w:t>
      </w:r>
    </w:p>
    <w:p>
      <w:pPr>
        <w:pStyle w:val="ListBullet"/>
        <w:spacing w:line="276" w:lineRule="auto" w:after="60"/>
      </w:pPr>
      <w:r>
        <w:rPr>
          <w:rFonts w:ascii="Times New Roman" w:hAnsi="Times New Roman"/>
          <w:b/>
          <w:sz w:val="24"/>
        </w:rPr>
        <w:t xml:space="preserve">1. Patient-Centric Grouping: </w:t>
      </w:r>
      <w:r>
        <w:rPr>
          <w:rFonts w:ascii="Times New Roman" w:hAnsi="Times New Roman"/>
          <w:sz w:val="24"/>
        </w:rPr>
        <w:t>Always group cross-validation splits by unique patient identifiers to prevent multi-encounter patient leakage.</w:t>
      </w:r>
    </w:p>
    <w:p>
      <w:pPr>
        <w:pStyle w:val="ListBullet"/>
        <w:spacing w:line="276" w:lineRule="auto" w:after="60"/>
      </w:pPr>
      <w:r>
        <w:rPr>
          <w:rFonts w:ascii="Times New Roman" w:hAnsi="Times New Roman"/>
          <w:b/>
          <w:sz w:val="24"/>
        </w:rPr>
        <w:t xml:space="preserve">2. Prioritize PR-AUC and Calibration: </w:t>
      </w:r>
      <w:r>
        <w:rPr>
          <w:rFonts w:ascii="Times New Roman" w:hAnsi="Times New Roman"/>
          <w:sz w:val="24"/>
        </w:rPr>
        <w:t>In imbalanced clinical outcomes, optimize Precision-Recall AUC and Brier score calibration rather than overall accuracy.</w:t>
      </w:r>
    </w:p>
    <w:p>
      <w:pPr>
        <w:pStyle w:val="ListBullet"/>
        <w:spacing w:line="276" w:lineRule="auto" w:after="60"/>
      </w:pPr>
      <w:r>
        <w:rPr>
          <w:rFonts w:ascii="Times New Roman" w:hAnsi="Times New Roman"/>
          <w:b/>
          <w:sz w:val="24"/>
        </w:rPr>
        <w:t xml:space="preserve">3. Co-Design with Clinical Stakeholders: </w:t>
      </w:r>
      <w:r>
        <w:rPr>
          <w:rFonts w:ascii="Times New Roman" w:hAnsi="Times New Roman"/>
          <w:sz w:val="24"/>
        </w:rPr>
        <w:t>Always involve physicians, nurse unit managers, and pharmacists during feature engineering and dashboard wireframing to ensure real-world utility.</w:t>
      </w:r>
    </w:p>
    <w:p>
      <w:pPr>
        <w:pStyle w:val="ListBullet"/>
        <w:spacing w:line="276" w:lineRule="auto" w:after="60"/>
      </w:pPr>
      <w:r>
        <w:rPr>
          <w:rFonts w:ascii="Times New Roman" w:hAnsi="Times New Roman"/>
          <w:b/>
          <w:sz w:val="24"/>
        </w:rPr>
        <w:t xml:space="preserve">4. Transparent Explainability: </w:t>
      </w:r>
      <w:r>
        <w:rPr>
          <w:rFonts w:ascii="Times New Roman" w:hAnsi="Times New Roman"/>
          <w:sz w:val="24"/>
        </w:rPr>
        <w:t>Provide local SHAP explanations for every patient risk prediction, empowering clinicians to understand the 'why' behind algorithmic recommendations.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8"/>
      </w:rPr>
      <w:t>Healthcare Data Analytics Capstone | Confidential Clinical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