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240"/>
        <w:jc w:val="center"/>
      </w:pPr>
      <w:r>
        <w:rPr>
          <w:rFonts w:ascii="Times New Roman" w:hAnsi="Times New Roman"/>
          <w:b/>
          <w:color w:val="002060"/>
          <w:sz w:val="40"/>
        </w:rPr>
        <w:t>HEALTHCARE DATA VISUALIZATION AND INSIGHTS COMMUNICATION</w:t>
      </w:r>
    </w:p>
    <w:p>
      <w:pPr>
        <w:spacing w:after="360"/>
        <w:jc w:val="center"/>
      </w:pPr>
      <w:r>
        <w:rPr>
          <w:rFonts w:ascii="Times New Roman" w:hAnsi="Times New Roman"/>
          <w:i/>
          <w:color w:val="505050"/>
          <w:sz w:val="24"/>
        </w:rPr>
        <w:t>Visual Analytics Strategy, Metric Wireframes, and Executive Clinical Dashboards</w:t>
        <w:br/>
        <w:t>Author: Ankit Kumar | Role: Healthcare Data Analyst Intern | Date: November 2025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1. Executive Summary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Data visualization in healthcare bridges the critical gap between complex statistical algorithms and clinical frontline decision-making. Physicians, nurse unit managers, and hospital administrators operate in high-cognitive-load environments where raw tabular numbers and complex statistical parameters (e.g., log-odds, p-values) fail to drive immediate operational interventions. This document details the data visualization strategy for communicating patient readmission patterns, inpatient length of stay distributions, and departmental bed utilization. By pairing human-centered dashboard design with rigorous visual encodings, this framework transforms predictive models into intuitive clinical decision-support tools.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2. Key Healthcare Performance Metrics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Effective clinical communication requires prioritizing standardized healthcare KPIs that balance patient outcomes with financial sustainability: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Metric Category</w:t>
            </w:r>
          </w:p>
        </w:tc>
        <w:tc>
          <w:tcPr>
            <w:tcW w:type="dxa" w:w="2592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Key Indicator</w:t>
            </w:r>
          </w:p>
        </w:tc>
        <w:tc>
          <w:tcPr>
            <w:tcW w:type="dxa" w:w="3600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Formula / Operational Definition</w:t>
            </w:r>
          </w:p>
        </w:tc>
        <w:tc>
          <w:tcPr>
            <w:tcW w:type="dxa" w:w="1728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Target Benchmark</w:t>
            </w:r>
          </w:p>
        </w:tc>
      </w:tr>
      <w:tr>
        <w:tc>
          <w:tcPr>
            <w:tcW w:type="dxa" w:w="216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Clinical Quality</w:t>
            </w:r>
          </w:p>
        </w:tc>
        <w:tc>
          <w:tcPr>
            <w:tcW w:type="dxa" w:w="2592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All-Cause 30-Day Readmission Rate</w:t>
            </w:r>
          </w:p>
        </w:tc>
        <w:tc>
          <w:tcPr>
            <w:tcW w:type="dxa" w:w="360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(Total 30-day acute readmissions / Total live inpatient discharges) * 100</w:t>
            </w:r>
          </w:p>
        </w:tc>
        <w:tc>
          <w:tcPr>
            <w:tcW w:type="dxa" w:w="1728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&lt; 16.5%</w:t>
            </w:r>
          </w:p>
        </w:tc>
      </w:tr>
      <w:tr>
        <w:tc>
          <w:tcPr>
            <w:tcW w:type="dxa" w:w="216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Clinical Quality</w:t>
            </w:r>
          </w:p>
        </w:tc>
        <w:tc>
          <w:tcPr>
            <w:tcW w:type="dxa" w:w="2592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In-Hospital Mortality Rate</w:t>
            </w:r>
          </w:p>
        </w:tc>
        <w:tc>
          <w:tcPr>
            <w:tcW w:type="dxa" w:w="360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(Inpatient deaths / Total inpatient admissions) * 100</w:t>
            </w:r>
          </w:p>
        </w:tc>
        <w:tc>
          <w:tcPr>
            <w:tcW w:type="dxa" w:w="1728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&lt; 1.8%</w:t>
            </w:r>
          </w:p>
        </w:tc>
      </w:tr>
      <w:tr>
        <w:tc>
          <w:tcPr>
            <w:tcW w:type="dxa" w:w="216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Efficiency</w:t>
            </w:r>
          </w:p>
        </w:tc>
        <w:tc>
          <w:tcPr>
            <w:tcW w:type="dxa" w:w="2592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Average Length of Stay (ALOS)</w:t>
            </w:r>
          </w:p>
        </w:tc>
        <w:tc>
          <w:tcPr>
            <w:tcW w:type="dxa" w:w="360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Total inpatient days / Total hospital discharges</w:t>
            </w:r>
          </w:p>
        </w:tc>
        <w:tc>
          <w:tcPr>
            <w:tcW w:type="dxa" w:w="1728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&lt; 5.0 Days</w:t>
            </w:r>
          </w:p>
        </w:tc>
      </w:tr>
      <w:tr>
        <w:tc>
          <w:tcPr>
            <w:tcW w:type="dxa" w:w="216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Capacity</w:t>
            </w:r>
          </w:p>
        </w:tc>
        <w:tc>
          <w:tcPr>
            <w:tcW w:type="dxa" w:w="2592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Emergency Department Boarding Time</w:t>
            </w:r>
          </w:p>
        </w:tc>
        <w:tc>
          <w:tcPr>
            <w:tcW w:type="dxa" w:w="360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Median hours spent in ED after admission decision before reaching inpatient bed</w:t>
            </w:r>
          </w:p>
        </w:tc>
        <w:tc>
          <w:tcPr>
            <w:tcW w:type="dxa" w:w="1728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&lt; 120 Minutes</w:t>
            </w:r>
          </w:p>
        </w:tc>
      </w:tr>
      <w:tr>
        <w:tc>
          <w:tcPr>
            <w:tcW w:type="dxa" w:w="216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Capacity</w:t>
            </w:r>
          </w:p>
        </w:tc>
        <w:tc>
          <w:tcPr>
            <w:tcW w:type="dxa" w:w="2592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Bed Occupancy Rate (BOR)</w:t>
            </w:r>
          </w:p>
        </w:tc>
        <w:tc>
          <w:tcPr>
            <w:tcW w:type="dxa" w:w="360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(Total occupied bed-days / Total available staffed bed-days) * 100</w:t>
            </w:r>
          </w:p>
        </w:tc>
        <w:tc>
          <w:tcPr>
            <w:tcW w:type="dxa" w:w="1728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82% - 86% optimal</w:t>
            </w:r>
          </w:p>
        </w:tc>
      </w:tr>
      <w:tr>
        <w:tc>
          <w:tcPr>
            <w:tcW w:type="dxa" w:w="216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Compliance</w:t>
            </w:r>
          </w:p>
        </w:tc>
        <w:tc>
          <w:tcPr>
            <w:tcW w:type="dxa" w:w="2592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Post-Discharge Follow-up Rate</w:t>
            </w:r>
          </w:p>
        </w:tc>
        <w:tc>
          <w:tcPr>
            <w:tcW w:type="dxa" w:w="360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% of high-risk patients attending clinical follow-up within 7 days</w:t>
            </w:r>
          </w:p>
        </w:tc>
        <w:tc>
          <w:tcPr>
            <w:tcW w:type="dxa" w:w="1728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&gt; 75%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3. Visualization Architecture and Tool Selection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A multi-tiered visualization architecture was selected to cater to different operational user groups: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Enterprise BI (Power BI / Tableau): </w:t>
      </w:r>
      <w:r>
        <w:rPr>
          <w:rFonts w:ascii="Times New Roman" w:hAnsi="Times New Roman"/>
          <w:sz w:val="24"/>
        </w:rPr>
        <w:t>Utilized for executive hospital leadership and departmental chairs. Features automated scheduled data refreshes, role-based row-level security (RLS), and drill-down capabilities from hospital-wide summaries to individual specialty wards.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Interactive Web Analytics (Plotly / Dash / Streamlit): </w:t>
      </w:r>
      <w:r>
        <w:rPr>
          <w:rFonts w:ascii="Times New Roman" w:hAnsi="Times New Roman"/>
          <w:sz w:val="24"/>
        </w:rPr>
        <w:t>Deployed for clinical informatics teams and quality analysts. Supports real-time scenario simulation, dynamic threshold adjustment, and algorithmic SHAP dependence exploration.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Static Publication Graphics (Matplotlib / Seaborn): </w:t>
      </w:r>
      <w:r>
        <w:rPr>
          <w:rFonts w:ascii="Times New Roman" w:hAnsi="Times New Roman"/>
          <w:sz w:val="24"/>
        </w:rPr>
        <w:t>Used for regulatory filings, peer-reviewed clinical audits, and formal board governance reports, ensuring exact typography, high-resolution vector rendering, and full styling compliance.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4. Visual Analytics Wireframes and Layout Specifications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The executive dashboard layout is organized into three interconnected analytical views: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82828"/>
          <w:sz w:val="26"/>
        </w:rPr>
        <w:t>4.1 Executive Summary View (C-Suite &amp; Board Level)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Top row features five high-level KPI cards displaying current monthly 30-day readmission rate, ALOS, projected CMS penalty risk, and bed occupancy. Below the cards, a dual-axis time-series line chart illustrates trailing 24-month readmission trends alongside national CMS benchmarks. A geographic district choropleth map pinpoints patient catchment zones with elevated social vulnerability and post-discharge bounce-back frequencies.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82828"/>
          <w:sz w:val="26"/>
        </w:rPr>
        <w:t>4.2 Clinical Service-Line Diagnostic View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A matrix of grouped horizontal bar charts highlights readmission rates by primary diagnosis (Heart Failure: 27.4%, Sepsis: 24.1%, COPD: 21.8%, Diabetes: 18.2%). Adjacent scatter plots correlate length of stay against patient age, color-coded by Charlson Comorbidity Index, exposing patient clusters experiencing prolonged hospitalizations and elevated post-discharge risks.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82828"/>
          <w:sz w:val="26"/>
        </w:rPr>
        <w:t>4.3 Operational Transition Bedside View (Care Coordination)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A prioritized clinical worklist displaying currently admitted inpatients scheduled for discharge in the next 24 to 48 hours. Patients are ranked by predicted 30-day readmission risk percentage with color-coded risk bands (High Risk &gt; 60% Red, Moderate Risk 30-60% Amber, Low Risk &lt; 30% Green). Clinicians can expand individual rows to inspect top contributing risk drivers (e.g., elevated serum creatinine, polypharmacy &gt;= 10 medications, unmanaged HbA1c &gt; 9.0%).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5. User-Centric Design, Accessibility, and Decision Support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To ensure adoption and prevent cognitive fatigue, the design incorporates strict clinical visual standards: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Color-Vision Deficiency (CVD) Safety: </w:t>
      </w:r>
      <w:r>
        <w:rPr>
          <w:rFonts w:ascii="Times New Roman" w:hAnsi="Times New Roman"/>
          <w:sz w:val="24"/>
        </w:rPr>
        <w:t>Avoided traditional red-green status coding. Implemented accessible ColorBrewer palettes (Viridis, Cividis, and blue-to-orange divergence) to ensure readability for color-blind clinical staff.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Action-Oriented Visual Cues: </w:t>
      </w:r>
      <w:r>
        <w:rPr>
          <w:rFonts w:ascii="Times New Roman" w:hAnsi="Times New Roman"/>
          <w:sz w:val="24"/>
        </w:rPr>
        <w:t>Visual alerts are tied directly to standard operating procedures (e.g., a flashing alert on patients with risk &gt; 70% automatically triggers a clinical pharmacist medication reconciliation consult).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De-cluttering &amp; Data-to-Ink Ratio: </w:t>
      </w:r>
      <w:r>
        <w:rPr>
          <w:rFonts w:ascii="Times New Roman" w:hAnsi="Times New Roman"/>
          <w:sz w:val="24"/>
        </w:rPr>
        <w:t>Eliminated extraneous 3D chart elements, heavy borders, and saturated backgrounds, prioritizing clean whitespace and high typography contrast.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787878"/>
        <w:sz w:val="18"/>
      </w:rPr>
      <w:t>Healthcare Data Analytics Capstone | Confidential Clinical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