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240"/>
        <w:jc w:val="center"/>
      </w:pPr>
      <w:r>
        <w:rPr>
          <w:rFonts w:ascii="Times New Roman" w:hAnsi="Times New Roman"/>
          <w:b/>
          <w:color w:val="002060"/>
          <w:sz w:val="40"/>
        </w:rPr>
        <w:t>HEALTHCARE DATA COLLECTION AND QUALITY ASSURANCE PLANNING</w:t>
      </w:r>
    </w:p>
    <w:p>
      <w:pPr>
        <w:spacing w:after="360"/>
        <w:jc w:val="center"/>
      </w:pPr>
      <w:r>
        <w:rPr>
          <w:rFonts w:ascii="Times New Roman" w:hAnsi="Times New Roman"/>
          <w:i/>
          <w:color w:val="505050"/>
          <w:sz w:val="24"/>
        </w:rPr>
        <w:t>Sourcing Strategy, Clinical Validation Protocols, and Data Ingestion Pipeline</w:t>
        <w:br/>
        <w:t>Author: Ankit Kumar | Role: Healthcare Data Analyst Intern | Date: November 2025</w:t>
      </w:r>
    </w:p>
    <w:p>
      <w:pPr>
        <w:keepNext/>
        <w:spacing w:before="280" w:after="80"/>
      </w:pPr>
      <w:r>
        <w:rPr>
          <w:rFonts w:ascii="Times New Roman" w:hAnsi="Times New Roman"/>
          <w:b/>
          <w:color w:val="002060"/>
          <w:sz w:val="30"/>
        </w:rPr>
        <w:t>1. Introduction to Healthcare Data Sourcing</w:t>
      </w:r>
    </w:p>
    <w:p>
      <w:pPr>
        <w:spacing w:line="276" w:lineRule="auto" w:after="120"/>
      </w:pPr>
      <w:r>
        <w:rPr>
          <w:rFonts w:ascii="Times New Roman" w:hAnsi="Times New Roman"/>
          <w:sz w:val="24"/>
        </w:rPr>
        <w:t>Healthcare data analytics requires rigorous adherence to data integrity, provenance, and privacy frameworks. In clinical research and operational quality improvement, data is captured across fragmented transactional sources: Admission-Discharge-Transfer (ADT) engines, Electronic Medical Record (EMR) clinical documentation, laboratory information systems (LIS), pharmacy dispensing cabinets, and billing claims. This document details the sourcing strategy, selection criteria, quality assurance framework, and data cleansing methodology for building a robust clinical dataset centered on inpatient admissions and 30-day readmission risk.</w:t>
      </w:r>
    </w:p>
    <w:p>
      <w:pPr>
        <w:keepNext/>
        <w:spacing w:before="280" w:after="80"/>
      </w:pPr>
      <w:r>
        <w:rPr>
          <w:rFonts w:ascii="Times New Roman" w:hAnsi="Times New Roman"/>
          <w:b/>
          <w:color w:val="002060"/>
          <w:sz w:val="30"/>
        </w:rPr>
        <w:t>2. Public Healthcare Data Sources and Evaluation</w:t>
      </w:r>
    </w:p>
    <w:p>
      <w:pPr>
        <w:spacing w:line="276" w:lineRule="auto" w:after="120"/>
      </w:pPr>
      <w:r>
        <w:rPr>
          <w:rFonts w:ascii="Times New Roman" w:hAnsi="Times New Roman"/>
          <w:sz w:val="24"/>
        </w:rPr>
        <w:t>To establish rigorous baseline benchmarks and simulate real-world tertiary hospital operations, three major publicly accessible healthcare repositories were surveyed and evaluated:</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016"/>
            <w:shd w:fill="D9E1F2"/>
            <w:tcBorders>
              <w:top w:val="single" w:sz="6" w:space="0" w:color="203764"/>
              <w:left w:val="none" w:sz="6" w:space="0" w:color="203764"/>
              <w:bottom w:val="double" w:sz="6" w:space="0" w:color="203764"/>
              <w:right w:val="none" w:sz="6" w:space="0" w:color="203764"/>
            </w:tcBorders>
            <w:tcMar>
              <w:top w:w="120" w:type="dxa"/>
              <w:bottom w:w="120" w:type="dxa"/>
              <w:left w:w="150" w:type="dxa"/>
              <w:right w:w="150" w:type="dxa"/>
            </w:tcMar>
          </w:tcPr>
          <w:p>
            <w:pPr>
              <w:jc w:val="center"/>
            </w:pPr>
            <w:r>
              <w:rPr>
                <w:rFonts w:ascii="Times New Roman" w:hAnsi="Times New Roman"/>
                <w:b/>
                <w:color w:val="000000"/>
                <w:sz w:val="22"/>
              </w:rPr>
              <w:t>Repository Name</w:t>
            </w:r>
          </w:p>
        </w:tc>
        <w:tc>
          <w:tcPr>
            <w:tcW w:type="dxa" w:w="2016"/>
            <w:shd w:fill="D9E1F2"/>
            <w:tcBorders>
              <w:top w:val="single" w:sz="6" w:space="0" w:color="203764"/>
              <w:left w:val="none" w:sz="6" w:space="0" w:color="203764"/>
              <w:bottom w:val="double" w:sz="6" w:space="0" w:color="203764"/>
              <w:right w:val="none" w:sz="6" w:space="0" w:color="203764"/>
            </w:tcBorders>
            <w:tcMar>
              <w:top w:w="120" w:type="dxa"/>
              <w:bottom w:w="120" w:type="dxa"/>
              <w:left w:w="150" w:type="dxa"/>
              <w:right w:w="150" w:type="dxa"/>
            </w:tcMar>
          </w:tcPr>
          <w:p>
            <w:pPr>
              <w:jc w:val="center"/>
            </w:pPr>
            <w:r>
              <w:rPr>
                <w:rFonts w:ascii="Times New Roman" w:hAnsi="Times New Roman"/>
                <w:b/>
                <w:color w:val="000000"/>
                <w:sz w:val="22"/>
              </w:rPr>
              <w:t>Custodian Organization</w:t>
            </w:r>
          </w:p>
        </w:tc>
        <w:tc>
          <w:tcPr>
            <w:tcW w:type="dxa" w:w="2160"/>
            <w:shd w:fill="D9E1F2"/>
            <w:tcBorders>
              <w:top w:val="single" w:sz="6" w:space="0" w:color="203764"/>
              <w:left w:val="none" w:sz="6" w:space="0" w:color="203764"/>
              <w:bottom w:val="double" w:sz="6" w:space="0" w:color="203764"/>
              <w:right w:val="none" w:sz="6" w:space="0" w:color="203764"/>
            </w:tcBorders>
            <w:tcMar>
              <w:top w:w="120" w:type="dxa"/>
              <w:bottom w:w="120" w:type="dxa"/>
              <w:left w:w="150" w:type="dxa"/>
              <w:right w:w="150" w:type="dxa"/>
            </w:tcMar>
          </w:tcPr>
          <w:p>
            <w:pPr>
              <w:jc w:val="center"/>
            </w:pPr>
            <w:r>
              <w:rPr>
                <w:rFonts w:ascii="Times New Roman" w:hAnsi="Times New Roman"/>
                <w:b/>
                <w:color w:val="000000"/>
                <w:sz w:val="22"/>
              </w:rPr>
              <w:t>Data Coverage &amp; Modality</w:t>
            </w:r>
          </w:p>
        </w:tc>
        <w:tc>
          <w:tcPr>
            <w:tcW w:type="dxa" w:w="2016"/>
            <w:shd w:fill="D9E1F2"/>
            <w:tcBorders>
              <w:top w:val="single" w:sz="6" w:space="0" w:color="203764"/>
              <w:left w:val="none" w:sz="6" w:space="0" w:color="203764"/>
              <w:bottom w:val="double" w:sz="6" w:space="0" w:color="203764"/>
              <w:right w:val="none" w:sz="6" w:space="0" w:color="203764"/>
            </w:tcBorders>
            <w:tcMar>
              <w:top w:w="120" w:type="dxa"/>
              <w:bottom w:w="120" w:type="dxa"/>
              <w:left w:w="150" w:type="dxa"/>
              <w:right w:w="150" w:type="dxa"/>
            </w:tcMar>
          </w:tcPr>
          <w:p>
            <w:pPr>
              <w:jc w:val="center"/>
            </w:pPr>
            <w:r>
              <w:rPr>
                <w:rFonts w:ascii="Times New Roman" w:hAnsi="Times New Roman"/>
                <w:b/>
                <w:color w:val="000000"/>
                <w:sz w:val="22"/>
              </w:rPr>
              <w:t>Applicability &amp; Strengths</w:t>
            </w:r>
          </w:p>
        </w:tc>
        <w:tc>
          <w:tcPr>
            <w:tcW w:type="dxa" w:w="1872"/>
            <w:shd w:fill="D9E1F2"/>
            <w:tcBorders>
              <w:top w:val="single" w:sz="6" w:space="0" w:color="203764"/>
              <w:left w:val="none" w:sz="6" w:space="0" w:color="203764"/>
              <w:bottom w:val="double" w:sz="6" w:space="0" w:color="203764"/>
              <w:right w:val="none" w:sz="6" w:space="0" w:color="203764"/>
            </w:tcBorders>
            <w:tcMar>
              <w:top w:w="120" w:type="dxa"/>
              <w:bottom w:w="120" w:type="dxa"/>
              <w:left w:w="150" w:type="dxa"/>
              <w:right w:w="150" w:type="dxa"/>
            </w:tcMar>
          </w:tcPr>
          <w:p>
            <w:pPr>
              <w:jc w:val="center"/>
            </w:pPr>
            <w:r>
              <w:rPr>
                <w:rFonts w:ascii="Times New Roman" w:hAnsi="Times New Roman"/>
                <w:b/>
                <w:color w:val="000000"/>
                <w:sz w:val="22"/>
              </w:rPr>
              <w:t>Limitations</w:t>
            </w:r>
          </w:p>
        </w:tc>
      </w:tr>
      <w:tr>
        <w:tc>
          <w:tcPr>
            <w:tcW w:type="dxa" w:w="2016"/>
            <w:shd w:fill="FFFFFF"/>
            <w:tcBorders>
              <w:top w:val="single" w:sz="4" w:space="0" w:color="CCCCCC"/>
              <w:left w:val="none" w:sz="4" w:space="0" w:color="CCCCCC"/>
              <w:bottom w:val="single" w:sz="4" w:space="0" w:color="CCCCCC"/>
              <w:right w:val="none" w:sz="4" w:space="0" w:color="CCCCCC"/>
            </w:tcBorders>
            <w:tcMar>
              <w:top w:w="80" w:type="dxa"/>
              <w:bottom w:w="80" w:type="dxa"/>
              <w:left w:w="150" w:type="dxa"/>
              <w:right w:w="150" w:type="dxa"/>
            </w:tcMar>
          </w:tcPr>
          <w:p>
            <w:r>
              <w:rPr>
                <w:rFonts w:ascii="Times New Roman" w:hAnsi="Times New Roman"/>
                <w:sz w:val="21"/>
              </w:rPr>
              <w:t>MIMIC-IV (v2.2)</w:t>
            </w:r>
          </w:p>
        </w:tc>
        <w:tc>
          <w:tcPr>
            <w:tcW w:type="dxa" w:w="2016"/>
            <w:shd w:fill="FFFFFF"/>
            <w:tcBorders>
              <w:top w:val="single" w:sz="4" w:space="0" w:color="CCCCCC"/>
              <w:left w:val="none" w:sz="4" w:space="0" w:color="CCCCCC"/>
              <w:bottom w:val="single" w:sz="4" w:space="0" w:color="CCCCCC"/>
              <w:right w:val="none" w:sz="4" w:space="0" w:color="CCCCCC"/>
            </w:tcBorders>
            <w:tcMar>
              <w:top w:w="80" w:type="dxa"/>
              <w:bottom w:w="80" w:type="dxa"/>
              <w:left w:w="150" w:type="dxa"/>
              <w:right w:w="150" w:type="dxa"/>
            </w:tcMar>
          </w:tcPr>
          <w:p>
            <w:r>
              <w:rPr>
                <w:rFonts w:ascii="Times New Roman" w:hAnsi="Times New Roman"/>
                <w:sz w:val="21"/>
              </w:rPr>
              <w:t>MIT Lab for Computational Physiology / Beth Israel</w:t>
            </w:r>
          </w:p>
        </w:tc>
        <w:tc>
          <w:tcPr>
            <w:tcW w:type="dxa" w:w="2160"/>
            <w:shd w:fill="FFFFFF"/>
            <w:tcBorders>
              <w:top w:val="single" w:sz="4" w:space="0" w:color="CCCCCC"/>
              <w:left w:val="none" w:sz="4" w:space="0" w:color="CCCCCC"/>
              <w:bottom w:val="single" w:sz="4" w:space="0" w:color="CCCCCC"/>
              <w:right w:val="none" w:sz="4" w:space="0" w:color="CCCCCC"/>
            </w:tcBorders>
            <w:tcMar>
              <w:top w:w="80" w:type="dxa"/>
              <w:bottom w:w="80" w:type="dxa"/>
              <w:left w:w="150" w:type="dxa"/>
              <w:right w:w="150" w:type="dxa"/>
            </w:tcMar>
          </w:tcPr>
          <w:p>
            <w:r>
              <w:rPr>
                <w:rFonts w:ascii="Times New Roman" w:hAnsi="Times New Roman"/>
                <w:sz w:val="21"/>
              </w:rPr>
              <w:t>De-identified ICU &amp; emergency admissions; lab vitals, medications, notes</w:t>
            </w:r>
          </w:p>
        </w:tc>
        <w:tc>
          <w:tcPr>
            <w:tcW w:type="dxa" w:w="2016"/>
            <w:shd w:fill="FFFFFF"/>
            <w:tcBorders>
              <w:top w:val="single" w:sz="4" w:space="0" w:color="CCCCCC"/>
              <w:left w:val="none" w:sz="4" w:space="0" w:color="CCCCCC"/>
              <w:bottom w:val="single" w:sz="4" w:space="0" w:color="CCCCCC"/>
              <w:right w:val="none" w:sz="4" w:space="0" w:color="CCCCCC"/>
            </w:tcBorders>
            <w:tcMar>
              <w:top w:w="80" w:type="dxa"/>
              <w:bottom w:w="80" w:type="dxa"/>
              <w:left w:w="150" w:type="dxa"/>
              <w:right w:w="150" w:type="dxa"/>
            </w:tcMar>
          </w:tcPr>
          <w:p>
            <w:r>
              <w:rPr>
                <w:rFonts w:ascii="Times New Roman" w:hAnsi="Times New Roman"/>
                <w:sz w:val="21"/>
              </w:rPr>
              <w:t>High granular physiological time-series; gold standard for clinical ML benchmark</w:t>
            </w:r>
          </w:p>
        </w:tc>
        <w:tc>
          <w:tcPr>
            <w:tcW w:type="dxa" w:w="1872"/>
            <w:shd w:fill="FFFFFF"/>
            <w:tcBorders>
              <w:top w:val="single" w:sz="4" w:space="0" w:color="CCCCCC"/>
              <w:left w:val="none" w:sz="4" w:space="0" w:color="CCCCCC"/>
              <w:bottom w:val="single" w:sz="4" w:space="0" w:color="CCCCCC"/>
              <w:right w:val="none" w:sz="4" w:space="0" w:color="CCCCCC"/>
            </w:tcBorders>
            <w:tcMar>
              <w:top w:w="80" w:type="dxa"/>
              <w:bottom w:w="80" w:type="dxa"/>
              <w:left w:w="150" w:type="dxa"/>
              <w:right w:w="150" w:type="dxa"/>
            </w:tcMar>
          </w:tcPr>
          <w:p>
            <w:r>
              <w:rPr>
                <w:rFonts w:ascii="Times New Roman" w:hAnsi="Times New Roman"/>
                <w:sz w:val="21"/>
              </w:rPr>
              <w:t>Single-center academic tertiary ICU focus; high compute footprint</w:t>
            </w:r>
          </w:p>
        </w:tc>
      </w:tr>
      <w:tr>
        <w:tc>
          <w:tcPr>
            <w:tcW w:type="dxa" w:w="2016"/>
            <w:shd w:fill="F2F2F2"/>
            <w:tcBorders>
              <w:top w:val="single" w:sz="4" w:space="0" w:color="CCCCCC"/>
              <w:left w:val="none" w:sz="4" w:space="0" w:color="CCCCCC"/>
              <w:bottom w:val="single" w:sz="4" w:space="0" w:color="CCCCCC"/>
              <w:right w:val="none" w:sz="4" w:space="0" w:color="CCCCCC"/>
            </w:tcBorders>
            <w:tcMar>
              <w:top w:w="80" w:type="dxa"/>
              <w:bottom w:w="80" w:type="dxa"/>
              <w:left w:w="150" w:type="dxa"/>
              <w:right w:w="150" w:type="dxa"/>
            </w:tcMar>
          </w:tcPr>
          <w:p>
            <w:r>
              <w:rPr>
                <w:rFonts w:ascii="Times New Roman" w:hAnsi="Times New Roman"/>
                <w:sz w:val="21"/>
              </w:rPr>
              <w:t>CMS Hospital Inpatient Quality Data</w:t>
            </w:r>
          </w:p>
        </w:tc>
        <w:tc>
          <w:tcPr>
            <w:tcW w:type="dxa" w:w="2016"/>
            <w:shd w:fill="F2F2F2"/>
            <w:tcBorders>
              <w:top w:val="single" w:sz="4" w:space="0" w:color="CCCCCC"/>
              <w:left w:val="none" w:sz="4" w:space="0" w:color="CCCCCC"/>
              <w:bottom w:val="single" w:sz="4" w:space="0" w:color="CCCCCC"/>
              <w:right w:val="none" w:sz="4" w:space="0" w:color="CCCCCC"/>
            </w:tcBorders>
            <w:tcMar>
              <w:top w:w="80" w:type="dxa"/>
              <w:bottom w:w="80" w:type="dxa"/>
              <w:left w:w="150" w:type="dxa"/>
              <w:right w:w="150" w:type="dxa"/>
            </w:tcMar>
          </w:tcPr>
          <w:p>
            <w:r>
              <w:rPr>
                <w:rFonts w:ascii="Times New Roman" w:hAnsi="Times New Roman"/>
                <w:sz w:val="21"/>
              </w:rPr>
              <w:t>Centers for Medicare &amp; Medicaid Services</w:t>
            </w:r>
          </w:p>
        </w:tc>
        <w:tc>
          <w:tcPr>
            <w:tcW w:type="dxa" w:w="2160"/>
            <w:shd w:fill="F2F2F2"/>
            <w:tcBorders>
              <w:top w:val="single" w:sz="4" w:space="0" w:color="CCCCCC"/>
              <w:left w:val="none" w:sz="4" w:space="0" w:color="CCCCCC"/>
              <w:bottom w:val="single" w:sz="4" w:space="0" w:color="CCCCCC"/>
              <w:right w:val="none" w:sz="4" w:space="0" w:color="CCCCCC"/>
            </w:tcBorders>
            <w:tcMar>
              <w:top w:w="80" w:type="dxa"/>
              <w:bottom w:w="80" w:type="dxa"/>
              <w:left w:w="150" w:type="dxa"/>
              <w:right w:w="150" w:type="dxa"/>
            </w:tcMar>
          </w:tcPr>
          <w:p>
            <w:r>
              <w:rPr>
                <w:rFonts w:ascii="Times New Roman" w:hAnsi="Times New Roman"/>
                <w:sz w:val="21"/>
              </w:rPr>
              <w:t>Facility-level 30-day readmissions, complication rates, payment data</w:t>
            </w:r>
          </w:p>
        </w:tc>
        <w:tc>
          <w:tcPr>
            <w:tcW w:type="dxa" w:w="2016"/>
            <w:shd w:fill="F2F2F2"/>
            <w:tcBorders>
              <w:top w:val="single" w:sz="4" w:space="0" w:color="CCCCCC"/>
              <w:left w:val="none" w:sz="4" w:space="0" w:color="CCCCCC"/>
              <w:bottom w:val="single" w:sz="4" w:space="0" w:color="CCCCCC"/>
              <w:right w:val="none" w:sz="4" w:space="0" w:color="CCCCCC"/>
            </w:tcBorders>
            <w:tcMar>
              <w:top w:w="80" w:type="dxa"/>
              <w:bottom w:w="80" w:type="dxa"/>
              <w:left w:w="150" w:type="dxa"/>
              <w:right w:w="150" w:type="dxa"/>
            </w:tcMar>
          </w:tcPr>
          <w:p>
            <w:r>
              <w:rPr>
                <w:rFonts w:ascii="Times New Roman" w:hAnsi="Times New Roman"/>
                <w:sz w:val="21"/>
              </w:rPr>
              <w:t>Standardized national quality benchmark metrics; regulatory policy baseline</w:t>
            </w:r>
          </w:p>
        </w:tc>
        <w:tc>
          <w:tcPr>
            <w:tcW w:type="dxa" w:w="1872"/>
            <w:shd w:fill="F2F2F2"/>
            <w:tcBorders>
              <w:top w:val="single" w:sz="4" w:space="0" w:color="CCCCCC"/>
              <w:left w:val="none" w:sz="4" w:space="0" w:color="CCCCCC"/>
              <w:bottom w:val="single" w:sz="4" w:space="0" w:color="CCCCCC"/>
              <w:right w:val="none" w:sz="4" w:space="0" w:color="CCCCCC"/>
            </w:tcBorders>
            <w:tcMar>
              <w:top w:w="80" w:type="dxa"/>
              <w:bottom w:w="80" w:type="dxa"/>
              <w:left w:w="150" w:type="dxa"/>
              <w:right w:w="150" w:type="dxa"/>
            </w:tcMar>
          </w:tcPr>
          <w:p>
            <w:r>
              <w:rPr>
                <w:rFonts w:ascii="Times New Roman" w:hAnsi="Times New Roman"/>
                <w:sz w:val="21"/>
              </w:rPr>
              <w:t>Aggregated facility-level; lacks individual patient physiological trajectories</w:t>
            </w:r>
          </w:p>
        </w:tc>
      </w:tr>
      <w:tr>
        <w:tc>
          <w:tcPr>
            <w:tcW w:type="dxa" w:w="2016"/>
            <w:shd w:fill="FFFFFF"/>
            <w:tcBorders>
              <w:top w:val="single" w:sz="4" w:space="0" w:color="CCCCCC"/>
              <w:left w:val="none" w:sz="4" w:space="0" w:color="CCCCCC"/>
              <w:bottom w:val="single" w:sz="4" w:space="0" w:color="CCCCCC"/>
              <w:right w:val="none" w:sz="4" w:space="0" w:color="CCCCCC"/>
            </w:tcBorders>
            <w:tcMar>
              <w:top w:w="80" w:type="dxa"/>
              <w:bottom w:w="80" w:type="dxa"/>
              <w:left w:w="150" w:type="dxa"/>
              <w:right w:w="150" w:type="dxa"/>
            </w:tcMar>
          </w:tcPr>
          <w:p>
            <w:r>
              <w:rPr>
                <w:rFonts w:ascii="Times New Roman" w:hAnsi="Times New Roman"/>
                <w:sz w:val="21"/>
              </w:rPr>
              <w:t>CDC NHANES Archive</w:t>
            </w:r>
          </w:p>
        </w:tc>
        <w:tc>
          <w:tcPr>
            <w:tcW w:type="dxa" w:w="2016"/>
            <w:shd w:fill="FFFFFF"/>
            <w:tcBorders>
              <w:top w:val="single" w:sz="4" w:space="0" w:color="CCCCCC"/>
              <w:left w:val="none" w:sz="4" w:space="0" w:color="CCCCCC"/>
              <w:bottom w:val="single" w:sz="4" w:space="0" w:color="CCCCCC"/>
              <w:right w:val="none" w:sz="4" w:space="0" w:color="CCCCCC"/>
            </w:tcBorders>
            <w:tcMar>
              <w:top w:w="80" w:type="dxa"/>
              <w:bottom w:w="80" w:type="dxa"/>
              <w:left w:w="150" w:type="dxa"/>
              <w:right w:w="150" w:type="dxa"/>
            </w:tcMar>
          </w:tcPr>
          <w:p>
            <w:r>
              <w:rPr>
                <w:rFonts w:ascii="Times New Roman" w:hAnsi="Times New Roman"/>
                <w:sz w:val="21"/>
              </w:rPr>
              <w:t>National Center for Health Statistics</w:t>
            </w:r>
          </w:p>
        </w:tc>
        <w:tc>
          <w:tcPr>
            <w:tcW w:type="dxa" w:w="2160"/>
            <w:shd w:fill="FFFFFF"/>
            <w:tcBorders>
              <w:top w:val="single" w:sz="4" w:space="0" w:color="CCCCCC"/>
              <w:left w:val="none" w:sz="4" w:space="0" w:color="CCCCCC"/>
              <w:bottom w:val="single" w:sz="4" w:space="0" w:color="CCCCCC"/>
              <w:right w:val="none" w:sz="4" w:space="0" w:color="CCCCCC"/>
            </w:tcBorders>
            <w:tcMar>
              <w:top w:w="80" w:type="dxa"/>
              <w:bottom w:w="80" w:type="dxa"/>
              <w:left w:w="150" w:type="dxa"/>
              <w:right w:w="150" w:type="dxa"/>
            </w:tcMar>
          </w:tcPr>
          <w:p>
            <w:r>
              <w:rPr>
                <w:rFonts w:ascii="Times New Roman" w:hAnsi="Times New Roman"/>
                <w:sz w:val="21"/>
              </w:rPr>
              <w:t>Population health surveys, lab biomarkers, nutrition, chronic conditions</w:t>
            </w:r>
          </w:p>
        </w:tc>
        <w:tc>
          <w:tcPr>
            <w:tcW w:type="dxa" w:w="2016"/>
            <w:shd w:fill="FFFFFF"/>
            <w:tcBorders>
              <w:top w:val="single" w:sz="4" w:space="0" w:color="CCCCCC"/>
              <w:left w:val="none" w:sz="4" w:space="0" w:color="CCCCCC"/>
              <w:bottom w:val="single" w:sz="4" w:space="0" w:color="CCCCCC"/>
              <w:right w:val="none" w:sz="4" w:space="0" w:color="CCCCCC"/>
            </w:tcBorders>
            <w:tcMar>
              <w:top w:w="80" w:type="dxa"/>
              <w:bottom w:w="80" w:type="dxa"/>
              <w:left w:w="150" w:type="dxa"/>
              <w:right w:w="150" w:type="dxa"/>
            </w:tcMar>
          </w:tcPr>
          <w:p>
            <w:r>
              <w:rPr>
                <w:rFonts w:ascii="Times New Roman" w:hAnsi="Times New Roman"/>
                <w:sz w:val="21"/>
              </w:rPr>
              <w:t>Broad demographic representation; rich longitudinal chronic illness baseline</w:t>
            </w:r>
          </w:p>
        </w:tc>
        <w:tc>
          <w:tcPr>
            <w:tcW w:type="dxa" w:w="1872"/>
            <w:shd w:fill="FFFFFF"/>
            <w:tcBorders>
              <w:top w:val="single" w:sz="4" w:space="0" w:color="CCCCCC"/>
              <w:left w:val="none" w:sz="4" w:space="0" w:color="CCCCCC"/>
              <w:bottom w:val="single" w:sz="4" w:space="0" w:color="CCCCCC"/>
              <w:right w:val="none" w:sz="4" w:space="0" w:color="CCCCCC"/>
            </w:tcBorders>
            <w:tcMar>
              <w:top w:w="80" w:type="dxa"/>
              <w:bottom w:w="80" w:type="dxa"/>
              <w:left w:w="150" w:type="dxa"/>
              <w:right w:w="150" w:type="dxa"/>
            </w:tcMar>
          </w:tcPr>
          <w:p>
            <w:r>
              <w:rPr>
                <w:rFonts w:ascii="Times New Roman" w:hAnsi="Times New Roman"/>
                <w:sz w:val="21"/>
              </w:rPr>
              <w:t>Non-acute outpatient survey focus; lacks inpatient encounter discharge data</w:t>
            </w:r>
          </w:p>
        </w:tc>
      </w:tr>
    </w:tbl>
    <w:p>
      <w:pPr>
        <w:spacing w:after="120"/>
      </w:pPr>
    </w:p>
    <w:p>
      <w:pPr>
        <w:keepNext/>
        <w:spacing w:before="280" w:after="80"/>
      </w:pPr>
      <w:r>
        <w:rPr>
          <w:rFonts w:ascii="Times New Roman" w:hAnsi="Times New Roman"/>
          <w:b/>
          <w:color w:val="002060"/>
          <w:sz w:val="30"/>
        </w:rPr>
        <w:t>3. Clinical Dataset Selection and Target Schema</w:t>
      </w:r>
    </w:p>
    <w:p>
      <w:pPr>
        <w:spacing w:line="276" w:lineRule="auto" w:after="120"/>
      </w:pPr>
      <w:r>
        <w:rPr>
          <w:rFonts w:ascii="Times New Roman" w:hAnsi="Times New Roman"/>
          <w:sz w:val="24"/>
        </w:rPr>
        <w:t>A primary analytical dataset of 10,000 inpatient encounters was structured reflecting complex chronic care admissions across five high-risk diagnostic categories: Heart Failure, Acute Myocardial Infarction, Type 2 Diabetes, Pneumonia, and Sepsis. The data model is organized into four core relational dimensions: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D9E1F2"/>
            <w:tcBorders>
              <w:top w:val="single" w:sz="6" w:space="0" w:color="203764"/>
              <w:left w:val="none" w:sz="6" w:space="0" w:color="203764"/>
              <w:bottom w:val="double" w:sz="6" w:space="0" w:color="203764"/>
              <w:right w:val="none" w:sz="6" w:space="0" w:color="203764"/>
            </w:tcBorders>
            <w:tcMar>
              <w:top w:w="120" w:type="dxa"/>
              <w:bottom w:w="120" w:type="dxa"/>
              <w:left w:w="150" w:type="dxa"/>
              <w:right w:w="150" w:type="dxa"/>
            </w:tcMar>
          </w:tcPr>
          <w:p>
            <w:pPr>
              <w:jc w:val="center"/>
            </w:pPr>
            <w:r>
              <w:rPr>
                <w:rFonts w:ascii="Times New Roman" w:hAnsi="Times New Roman"/>
                <w:b/>
                <w:color w:val="000000"/>
                <w:sz w:val="22"/>
              </w:rPr>
              <w:t>Feature Category</w:t>
            </w:r>
          </w:p>
        </w:tc>
        <w:tc>
          <w:tcPr>
            <w:tcW w:type="dxa" w:w="2592"/>
            <w:shd w:fill="D9E1F2"/>
            <w:tcBorders>
              <w:top w:val="single" w:sz="6" w:space="0" w:color="203764"/>
              <w:left w:val="none" w:sz="6" w:space="0" w:color="203764"/>
              <w:bottom w:val="double" w:sz="6" w:space="0" w:color="203764"/>
              <w:right w:val="none" w:sz="6" w:space="0" w:color="203764"/>
            </w:tcBorders>
            <w:tcMar>
              <w:top w:w="120" w:type="dxa"/>
              <w:bottom w:w="120" w:type="dxa"/>
              <w:left w:w="150" w:type="dxa"/>
              <w:right w:w="150" w:type="dxa"/>
            </w:tcMar>
          </w:tcPr>
          <w:p>
            <w:pPr>
              <w:jc w:val="center"/>
            </w:pPr>
            <w:r>
              <w:rPr>
                <w:rFonts w:ascii="Times New Roman" w:hAnsi="Times New Roman"/>
                <w:b/>
                <w:color w:val="000000"/>
                <w:sz w:val="22"/>
              </w:rPr>
              <w:t>Variable Name</w:t>
            </w:r>
          </w:p>
        </w:tc>
        <w:tc>
          <w:tcPr>
            <w:tcW w:type="dxa" w:w="1584"/>
            <w:shd w:fill="D9E1F2"/>
            <w:tcBorders>
              <w:top w:val="single" w:sz="6" w:space="0" w:color="203764"/>
              <w:left w:val="none" w:sz="6" w:space="0" w:color="203764"/>
              <w:bottom w:val="double" w:sz="6" w:space="0" w:color="203764"/>
              <w:right w:val="none" w:sz="6" w:space="0" w:color="203764"/>
            </w:tcBorders>
            <w:tcMar>
              <w:top w:w="120" w:type="dxa"/>
              <w:bottom w:w="120" w:type="dxa"/>
              <w:left w:w="150" w:type="dxa"/>
              <w:right w:w="150" w:type="dxa"/>
            </w:tcMar>
          </w:tcPr>
          <w:p>
            <w:pPr>
              <w:jc w:val="center"/>
            </w:pPr>
            <w:r>
              <w:rPr>
                <w:rFonts w:ascii="Times New Roman" w:hAnsi="Times New Roman"/>
                <w:b/>
                <w:color w:val="000000"/>
                <w:sz w:val="22"/>
              </w:rPr>
              <w:t>Data Type</w:t>
            </w:r>
          </w:p>
        </w:tc>
        <w:tc>
          <w:tcPr>
            <w:tcW w:type="dxa" w:w="4032"/>
            <w:shd w:fill="D9E1F2"/>
            <w:tcBorders>
              <w:top w:val="single" w:sz="6" w:space="0" w:color="203764"/>
              <w:left w:val="none" w:sz="6" w:space="0" w:color="203764"/>
              <w:bottom w:val="double" w:sz="6" w:space="0" w:color="203764"/>
              <w:right w:val="none" w:sz="6" w:space="0" w:color="203764"/>
            </w:tcBorders>
            <w:tcMar>
              <w:top w:w="120" w:type="dxa"/>
              <w:bottom w:w="120" w:type="dxa"/>
              <w:left w:w="150" w:type="dxa"/>
              <w:right w:w="150" w:type="dxa"/>
            </w:tcMar>
          </w:tcPr>
          <w:p>
            <w:pPr>
              <w:jc w:val="center"/>
            </w:pPr>
            <w:r>
              <w:rPr>
                <w:rFonts w:ascii="Times New Roman" w:hAnsi="Times New Roman"/>
                <w:b/>
                <w:color w:val="000000"/>
                <w:sz w:val="22"/>
              </w:rPr>
              <w:t>Clinical Definition / Validation Bounds</w:t>
            </w:r>
          </w:p>
        </w:tc>
      </w:tr>
      <w:tr>
        <w:tc>
          <w:tcPr>
            <w:tcW w:type="dxa" w:w="1872"/>
            <w:shd w:fill="FFFFFF"/>
            <w:tcBorders>
              <w:top w:val="single" w:sz="4" w:space="0" w:color="CCCCCC"/>
              <w:left w:val="none" w:sz="4" w:space="0" w:color="CCCCCC"/>
              <w:bottom w:val="single" w:sz="4" w:space="0" w:color="CCCCCC"/>
              <w:right w:val="none" w:sz="4" w:space="0" w:color="CCCCCC"/>
            </w:tcBorders>
            <w:tcMar>
              <w:top w:w="80" w:type="dxa"/>
              <w:bottom w:w="80" w:type="dxa"/>
              <w:left w:w="150" w:type="dxa"/>
              <w:right w:w="150" w:type="dxa"/>
            </w:tcMar>
          </w:tcPr>
          <w:p>
            <w:r>
              <w:rPr>
                <w:rFonts w:ascii="Times New Roman" w:hAnsi="Times New Roman"/>
                <w:sz w:val="21"/>
              </w:rPr>
              <w:t>Demographics</w:t>
            </w:r>
          </w:p>
        </w:tc>
        <w:tc>
          <w:tcPr>
            <w:tcW w:type="dxa" w:w="2592"/>
            <w:shd w:fill="FFFFFF"/>
            <w:tcBorders>
              <w:top w:val="single" w:sz="4" w:space="0" w:color="CCCCCC"/>
              <w:left w:val="none" w:sz="4" w:space="0" w:color="CCCCCC"/>
              <w:bottom w:val="single" w:sz="4" w:space="0" w:color="CCCCCC"/>
              <w:right w:val="none" w:sz="4" w:space="0" w:color="CCCCCC"/>
            </w:tcBorders>
            <w:tcMar>
              <w:top w:w="80" w:type="dxa"/>
              <w:bottom w:w="80" w:type="dxa"/>
              <w:left w:w="150" w:type="dxa"/>
              <w:right w:w="150" w:type="dxa"/>
            </w:tcMar>
          </w:tcPr>
          <w:p>
            <w:r>
              <w:rPr>
                <w:rFonts w:ascii="Times New Roman" w:hAnsi="Times New Roman"/>
                <w:sz w:val="21"/>
              </w:rPr>
              <w:t>patient_id</w:t>
            </w:r>
          </w:p>
        </w:tc>
        <w:tc>
          <w:tcPr>
            <w:tcW w:type="dxa" w:w="1584"/>
            <w:shd w:fill="FFFFFF"/>
            <w:tcBorders>
              <w:top w:val="single" w:sz="4" w:space="0" w:color="CCCCCC"/>
              <w:left w:val="none" w:sz="4" w:space="0" w:color="CCCCCC"/>
              <w:bottom w:val="single" w:sz="4" w:space="0" w:color="CCCCCC"/>
              <w:right w:val="none" w:sz="4" w:space="0" w:color="CCCCCC"/>
            </w:tcBorders>
            <w:tcMar>
              <w:top w:w="80" w:type="dxa"/>
              <w:bottom w:w="80" w:type="dxa"/>
              <w:left w:w="150" w:type="dxa"/>
              <w:right w:w="150" w:type="dxa"/>
            </w:tcMar>
          </w:tcPr>
          <w:p>
            <w:r>
              <w:rPr>
                <w:rFonts w:ascii="Times New Roman" w:hAnsi="Times New Roman"/>
                <w:sz w:val="21"/>
              </w:rPr>
              <w:t>String (UUID)</w:t>
            </w:r>
          </w:p>
        </w:tc>
        <w:tc>
          <w:tcPr>
            <w:tcW w:type="dxa" w:w="4032"/>
            <w:shd w:fill="FFFFFF"/>
            <w:tcBorders>
              <w:top w:val="single" w:sz="4" w:space="0" w:color="CCCCCC"/>
              <w:left w:val="none" w:sz="4" w:space="0" w:color="CCCCCC"/>
              <w:bottom w:val="single" w:sz="4" w:space="0" w:color="CCCCCC"/>
              <w:right w:val="none" w:sz="4" w:space="0" w:color="CCCCCC"/>
            </w:tcBorders>
            <w:tcMar>
              <w:top w:w="80" w:type="dxa"/>
              <w:bottom w:w="80" w:type="dxa"/>
              <w:left w:w="150" w:type="dxa"/>
              <w:right w:w="150" w:type="dxa"/>
            </w:tcMar>
          </w:tcPr>
          <w:p>
            <w:r>
              <w:rPr>
                <w:rFonts w:ascii="Times New Roman" w:hAnsi="Times New Roman"/>
                <w:sz w:val="21"/>
              </w:rPr>
              <w:t>Unique hashed de-identified patient surrogate key</w:t>
            </w:r>
          </w:p>
        </w:tc>
      </w:tr>
      <w:tr>
        <w:tc>
          <w:tcPr>
            <w:tcW w:type="dxa" w:w="1872"/>
            <w:shd w:fill="F2F2F2"/>
            <w:tcBorders>
              <w:top w:val="single" w:sz="4" w:space="0" w:color="CCCCCC"/>
              <w:left w:val="none" w:sz="4" w:space="0" w:color="CCCCCC"/>
              <w:bottom w:val="single" w:sz="4" w:space="0" w:color="CCCCCC"/>
              <w:right w:val="none" w:sz="4" w:space="0" w:color="CCCCCC"/>
            </w:tcBorders>
            <w:tcMar>
              <w:top w:w="80" w:type="dxa"/>
              <w:bottom w:w="80" w:type="dxa"/>
              <w:left w:w="150" w:type="dxa"/>
              <w:right w:w="150" w:type="dxa"/>
            </w:tcMar>
          </w:tcPr>
          <w:p>
            <w:r>
              <w:rPr>
                <w:rFonts w:ascii="Times New Roman" w:hAnsi="Times New Roman"/>
                <w:sz w:val="21"/>
              </w:rPr>
              <w:t>Demographics</w:t>
            </w:r>
          </w:p>
        </w:tc>
        <w:tc>
          <w:tcPr>
            <w:tcW w:type="dxa" w:w="2592"/>
            <w:shd w:fill="F2F2F2"/>
            <w:tcBorders>
              <w:top w:val="single" w:sz="4" w:space="0" w:color="CCCCCC"/>
              <w:left w:val="none" w:sz="4" w:space="0" w:color="CCCCCC"/>
              <w:bottom w:val="single" w:sz="4" w:space="0" w:color="CCCCCC"/>
              <w:right w:val="none" w:sz="4" w:space="0" w:color="CCCCCC"/>
            </w:tcBorders>
            <w:tcMar>
              <w:top w:w="80" w:type="dxa"/>
              <w:bottom w:w="80" w:type="dxa"/>
              <w:left w:w="150" w:type="dxa"/>
              <w:right w:w="150" w:type="dxa"/>
            </w:tcMar>
          </w:tcPr>
          <w:p>
            <w:r>
              <w:rPr>
                <w:rFonts w:ascii="Times New Roman" w:hAnsi="Times New Roman"/>
                <w:sz w:val="21"/>
              </w:rPr>
              <w:t>age</w:t>
            </w:r>
          </w:p>
        </w:tc>
        <w:tc>
          <w:tcPr>
            <w:tcW w:type="dxa" w:w="1584"/>
            <w:shd w:fill="F2F2F2"/>
            <w:tcBorders>
              <w:top w:val="single" w:sz="4" w:space="0" w:color="CCCCCC"/>
              <w:left w:val="none" w:sz="4" w:space="0" w:color="CCCCCC"/>
              <w:bottom w:val="single" w:sz="4" w:space="0" w:color="CCCCCC"/>
              <w:right w:val="none" w:sz="4" w:space="0" w:color="CCCCCC"/>
            </w:tcBorders>
            <w:tcMar>
              <w:top w:w="80" w:type="dxa"/>
              <w:bottom w:w="80" w:type="dxa"/>
              <w:left w:w="150" w:type="dxa"/>
              <w:right w:w="150" w:type="dxa"/>
            </w:tcMar>
          </w:tcPr>
          <w:p>
            <w:r>
              <w:rPr>
                <w:rFonts w:ascii="Times New Roman" w:hAnsi="Times New Roman"/>
                <w:sz w:val="21"/>
              </w:rPr>
              <w:t>Integer</w:t>
            </w:r>
          </w:p>
        </w:tc>
        <w:tc>
          <w:tcPr>
            <w:tcW w:type="dxa" w:w="4032"/>
            <w:shd w:fill="F2F2F2"/>
            <w:tcBorders>
              <w:top w:val="single" w:sz="4" w:space="0" w:color="CCCCCC"/>
              <w:left w:val="none" w:sz="4" w:space="0" w:color="CCCCCC"/>
              <w:bottom w:val="single" w:sz="4" w:space="0" w:color="CCCCCC"/>
              <w:right w:val="none" w:sz="4" w:space="0" w:color="CCCCCC"/>
            </w:tcBorders>
            <w:tcMar>
              <w:top w:w="80" w:type="dxa"/>
              <w:bottom w:w="80" w:type="dxa"/>
              <w:left w:w="150" w:type="dxa"/>
              <w:right w:w="150" w:type="dxa"/>
            </w:tcMar>
          </w:tcPr>
          <w:p>
            <w:r>
              <w:rPr>
                <w:rFonts w:ascii="Times New Roman" w:hAnsi="Times New Roman"/>
                <w:sz w:val="21"/>
              </w:rPr>
              <w:t>Patient age at admission (Bounded: 18 - 92 years)</w:t>
            </w:r>
          </w:p>
        </w:tc>
      </w:tr>
      <w:tr>
        <w:tc>
          <w:tcPr>
            <w:tcW w:type="dxa" w:w="1872"/>
            <w:shd w:fill="FFFFFF"/>
            <w:tcBorders>
              <w:top w:val="single" w:sz="4" w:space="0" w:color="CCCCCC"/>
              <w:left w:val="none" w:sz="4" w:space="0" w:color="CCCCCC"/>
              <w:bottom w:val="single" w:sz="4" w:space="0" w:color="CCCCCC"/>
              <w:right w:val="none" w:sz="4" w:space="0" w:color="CCCCCC"/>
            </w:tcBorders>
            <w:tcMar>
              <w:top w:w="80" w:type="dxa"/>
              <w:bottom w:w="80" w:type="dxa"/>
              <w:left w:w="150" w:type="dxa"/>
              <w:right w:w="150" w:type="dxa"/>
            </w:tcMar>
          </w:tcPr>
          <w:p>
            <w:r>
              <w:rPr>
                <w:rFonts w:ascii="Times New Roman" w:hAnsi="Times New Roman"/>
                <w:sz w:val="21"/>
              </w:rPr>
              <w:t>Demographics</w:t>
            </w:r>
          </w:p>
        </w:tc>
        <w:tc>
          <w:tcPr>
            <w:tcW w:type="dxa" w:w="2592"/>
            <w:shd w:fill="FFFFFF"/>
            <w:tcBorders>
              <w:top w:val="single" w:sz="4" w:space="0" w:color="CCCCCC"/>
              <w:left w:val="none" w:sz="4" w:space="0" w:color="CCCCCC"/>
              <w:bottom w:val="single" w:sz="4" w:space="0" w:color="CCCCCC"/>
              <w:right w:val="none" w:sz="4" w:space="0" w:color="CCCCCC"/>
            </w:tcBorders>
            <w:tcMar>
              <w:top w:w="80" w:type="dxa"/>
              <w:bottom w:w="80" w:type="dxa"/>
              <w:left w:w="150" w:type="dxa"/>
              <w:right w:w="150" w:type="dxa"/>
            </w:tcMar>
          </w:tcPr>
          <w:p>
            <w:r>
              <w:rPr>
                <w:rFonts w:ascii="Times New Roman" w:hAnsi="Times New Roman"/>
                <w:sz w:val="21"/>
              </w:rPr>
              <w:t>gender</w:t>
            </w:r>
          </w:p>
        </w:tc>
        <w:tc>
          <w:tcPr>
            <w:tcW w:type="dxa" w:w="1584"/>
            <w:shd w:fill="FFFFFF"/>
            <w:tcBorders>
              <w:top w:val="single" w:sz="4" w:space="0" w:color="CCCCCC"/>
              <w:left w:val="none" w:sz="4" w:space="0" w:color="CCCCCC"/>
              <w:bottom w:val="single" w:sz="4" w:space="0" w:color="CCCCCC"/>
              <w:right w:val="none" w:sz="4" w:space="0" w:color="CCCCCC"/>
            </w:tcBorders>
            <w:tcMar>
              <w:top w:w="80" w:type="dxa"/>
              <w:bottom w:w="80" w:type="dxa"/>
              <w:left w:w="150" w:type="dxa"/>
              <w:right w:w="150" w:type="dxa"/>
            </w:tcMar>
          </w:tcPr>
          <w:p>
            <w:r>
              <w:rPr>
                <w:rFonts w:ascii="Times New Roman" w:hAnsi="Times New Roman"/>
                <w:sz w:val="21"/>
              </w:rPr>
              <w:t>Categorical</w:t>
            </w:r>
          </w:p>
        </w:tc>
        <w:tc>
          <w:tcPr>
            <w:tcW w:type="dxa" w:w="4032"/>
            <w:shd w:fill="FFFFFF"/>
            <w:tcBorders>
              <w:top w:val="single" w:sz="4" w:space="0" w:color="CCCCCC"/>
              <w:left w:val="none" w:sz="4" w:space="0" w:color="CCCCCC"/>
              <w:bottom w:val="single" w:sz="4" w:space="0" w:color="CCCCCC"/>
              <w:right w:val="none" w:sz="4" w:space="0" w:color="CCCCCC"/>
            </w:tcBorders>
            <w:tcMar>
              <w:top w:w="80" w:type="dxa"/>
              <w:bottom w:w="80" w:type="dxa"/>
              <w:left w:w="150" w:type="dxa"/>
              <w:right w:w="150" w:type="dxa"/>
            </w:tcMar>
          </w:tcPr>
          <w:p>
            <w:r>
              <w:rPr>
                <w:rFonts w:ascii="Times New Roman" w:hAnsi="Times New Roman"/>
                <w:sz w:val="21"/>
              </w:rPr>
              <w:t>Biological sex ('Male', 'Female')</w:t>
            </w:r>
          </w:p>
        </w:tc>
      </w:tr>
      <w:tr>
        <w:tc>
          <w:tcPr>
            <w:tcW w:type="dxa" w:w="1872"/>
            <w:shd w:fill="F2F2F2"/>
            <w:tcBorders>
              <w:top w:val="single" w:sz="4" w:space="0" w:color="CCCCCC"/>
              <w:left w:val="none" w:sz="4" w:space="0" w:color="CCCCCC"/>
              <w:bottom w:val="single" w:sz="4" w:space="0" w:color="CCCCCC"/>
              <w:right w:val="none" w:sz="4" w:space="0" w:color="CCCCCC"/>
            </w:tcBorders>
            <w:tcMar>
              <w:top w:w="80" w:type="dxa"/>
              <w:bottom w:w="80" w:type="dxa"/>
              <w:left w:w="150" w:type="dxa"/>
              <w:right w:w="150" w:type="dxa"/>
            </w:tcMar>
          </w:tcPr>
          <w:p>
            <w:r>
              <w:rPr>
                <w:rFonts w:ascii="Times New Roman" w:hAnsi="Times New Roman"/>
                <w:sz w:val="21"/>
              </w:rPr>
              <w:t>Utilization</w:t>
            </w:r>
          </w:p>
        </w:tc>
        <w:tc>
          <w:tcPr>
            <w:tcW w:type="dxa" w:w="2592"/>
            <w:shd w:fill="F2F2F2"/>
            <w:tcBorders>
              <w:top w:val="single" w:sz="4" w:space="0" w:color="CCCCCC"/>
              <w:left w:val="none" w:sz="4" w:space="0" w:color="CCCCCC"/>
              <w:bottom w:val="single" w:sz="4" w:space="0" w:color="CCCCCC"/>
              <w:right w:val="none" w:sz="4" w:space="0" w:color="CCCCCC"/>
            </w:tcBorders>
            <w:tcMar>
              <w:top w:w="80" w:type="dxa"/>
              <w:bottom w:w="80" w:type="dxa"/>
              <w:left w:w="150" w:type="dxa"/>
              <w:right w:w="150" w:type="dxa"/>
            </w:tcMar>
          </w:tcPr>
          <w:p>
            <w:r>
              <w:rPr>
                <w:rFonts w:ascii="Times New Roman" w:hAnsi="Times New Roman"/>
                <w:sz w:val="21"/>
              </w:rPr>
              <w:t>admission_type</w:t>
            </w:r>
          </w:p>
        </w:tc>
        <w:tc>
          <w:tcPr>
            <w:tcW w:type="dxa" w:w="1584"/>
            <w:shd w:fill="F2F2F2"/>
            <w:tcBorders>
              <w:top w:val="single" w:sz="4" w:space="0" w:color="CCCCCC"/>
              <w:left w:val="none" w:sz="4" w:space="0" w:color="CCCCCC"/>
              <w:bottom w:val="single" w:sz="4" w:space="0" w:color="CCCCCC"/>
              <w:right w:val="none" w:sz="4" w:space="0" w:color="CCCCCC"/>
            </w:tcBorders>
            <w:tcMar>
              <w:top w:w="80" w:type="dxa"/>
              <w:bottom w:w="80" w:type="dxa"/>
              <w:left w:w="150" w:type="dxa"/>
              <w:right w:w="150" w:type="dxa"/>
            </w:tcMar>
          </w:tcPr>
          <w:p>
            <w:r>
              <w:rPr>
                <w:rFonts w:ascii="Times New Roman" w:hAnsi="Times New Roman"/>
                <w:sz w:val="21"/>
              </w:rPr>
              <w:t>Categorical</w:t>
            </w:r>
          </w:p>
        </w:tc>
        <w:tc>
          <w:tcPr>
            <w:tcW w:type="dxa" w:w="4032"/>
            <w:shd w:fill="F2F2F2"/>
            <w:tcBorders>
              <w:top w:val="single" w:sz="4" w:space="0" w:color="CCCCCC"/>
              <w:left w:val="none" w:sz="4" w:space="0" w:color="CCCCCC"/>
              <w:bottom w:val="single" w:sz="4" w:space="0" w:color="CCCCCC"/>
              <w:right w:val="none" w:sz="4" w:space="0" w:color="CCCCCC"/>
            </w:tcBorders>
            <w:tcMar>
              <w:top w:w="80" w:type="dxa"/>
              <w:bottom w:w="80" w:type="dxa"/>
              <w:left w:w="150" w:type="dxa"/>
              <w:right w:w="150" w:type="dxa"/>
            </w:tcMar>
          </w:tcPr>
          <w:p>
            <w:r>
              <w:rPr>
                <w:rFonts w:ascii="Times New Roman" w:hAnsi="Times New Roman"/>
                <w:sz w:val="21"/>
              </w:rPr>
              <w:t>'Emergency', 'Elective', 'Urgent'</w:t>
            </w:r>
          </w:p>
        </w:tc>
      </w:tr>
      <w:tr>
        <w:tc>
          <w:tcPr>
            <w:tcW w:type="dxa" w:w="1872"/>
            <w:shd w:fill="FFFFFF"/>
            <w:tcBorders>
              <w:top w:val="single" w:sz="4" w:space="0" w:color="CCCCCC"/>
              <w:left w:val="none" w:sz="4" w:space="0" w:color="CCCCCC"/>
              <w:bottom w:val="single" w:sz="4" w:space="0" w:color="CCCCCC"/>
              <w:right w:val="none" w:sz="4" w:space="0" w:color="CCCCCC"/>
            </w:tcBorders>
            <w:tcMar>
              <w:top w:w="80" w:type="dxa"/>
              <w:bottom w:w="80" w:type="dxa"/>
              <w:left w:w="150" w:type="dxa"/>
              <w:right w:w="150" w:type="dxa"/>
            </w:tcMar>
          </w:tcPr>
          <w:p>
            <w:r>
              <w:rPr>
                <w:rFonts w:ascii="Times New Roman" w:hAnsi="Times New Roman"/>
                <w:sz w:val="21"/>
              </w:rPr>
              <w:t>Utilization</w:t>
            </w:r>
          </w:p>
        </w:tc>
        <w:tc>
          <w:tcPr>
            <w:tcW w:type="dxa" w:w="2592"/>
            <w:shd w:fill="FFFFFF"/>
            <w:tcBorders>
              <w:top w:val="single" w:sz="4" w:space="0" w:color="CCCCCC"/>
              <w:left w:val="none" w:sz="4" w:space="0" w:color="CCCCCC"/>
              <w:bottom w:val="single" w:sz="4" w:space="0" w:color="CCCCCC"/>
              <w:right w:val="none" w:sz="4" w:space="0" w:color="CCCCCC"/>
            </w:tcBorders>
            <w:tcMar>
              <w:top w:w="80" w:type="dxa"/>
              <w:bottom w:w="80" w:type="dxa"/>
              <w:left w:w="150" w:type="dxa"/>
              <w:right w:w="150" w:type="dxa"/>
            </w:tcMar>
          </w:tcPr>
          <w:p>
            <w:r>
              <w:rPr>
                <w:rFonts w:ascii="Times New Roman" w:hAnsi="Times New Roman"/>
                <w:sz w:val="21"/>
              </w:rPr>
              <w:t>length_of_stay_days</w:t>
            </w:r>
          </w:p>
        </w:tc>
        <w:tc>
          <w:tcPr>
            <w:tcW w:type="dxa" w:w="1584"/>
            <w:shd w:fill="FFFFFF"/>
            <w:tcBorders>
              <w:top w:val="single" w:sz="4" w:space="0" w:color="CCCCCC"/>
              <w:left w:val="none" w:sz="4" w:space="0" w:color="CCCCCC"/>
              <w:bottom w:val="single" w:sz="4" w:space="0" w:color="CCCCCC"/>
              <w:right w:val="none" w:sz="4" w:space="0" w:color="CCCCCC"/>
            </w:tcBorders>
            <w:tcMar>
              <w:top w:w="80" w:type="dxa"/>
              <w:bottom w:w="80" w:type="dxa"/>
              <w:left w:w="150" w:type="dxa"/>
              <w:right w:w="150" w:type="dxa"/>
            </w:tcMar>
          </w:tcPr>
          <w:p>
            <w:r>
              <w:rPr>
                <w:rFonts w:ascii="Times New Roman" w:hAnsi="Times New Roman"/>
                <w:sz w:val="21"/>
              </w:rPr>
              <w:t>Integer</w:t>
            </w:r>
          </w:p>
        </w:tc>
        <w:tc>
          <w:tcPr>
            <w:tcW w:type="dxa" w:w="4032"/>
            <w:shd w:fill="FFFFFF"/>
            <w:tcBorders>
              <w:top w:val="single" w:sz="4" w:space="0" w:color="CCCCCC"/>
              <w:left w:val="none" w:sz="4" w:space="0" w:color="CCCCCC"/>
              <w:bottom w:val="single" w:sz="4" w:space="0" w:color="CCCCCC"/>
              <w:right w:val="none" w:sz="4" w:space="0" w:color="CCCCCC"/>
            </w:tcBorders>
            <w:tcMar>
              <w:top w:w="80" w:type="dxa"/>
              <w:bottom w:w="80" w:type="dxa"/>
              <w:left w:w="150" w:type="dxa"/>
              <w:right w:w="150" w:type="dxa"/>
            </w:tcMar>
          </w:tcPr>
          <w:p>
            <w:r>
              <w:rPr>
                <w:rFonts w:ascii="Times New Roman" w:hAnsi="Times New Roman"/>
                <w:sz w:val="21"/>
              </w:rPr>
              <w:t>Inpatient duration from admission to discharge (&gt;= 1 day)</w:t>
            </w:r>
          </w:p>
        </w:tc>
      </w:tr>
      <w:tr>
        <w:tc>
          <w:tcPr>
            <w:tcW w:type="dxa" w:w="1872"/>
            <w:shd w:fill="F2F2F2"/>
            <w:tcBorders>
              <w:top w:val="single" w:sz="4" w:space="0" w:color="CCCCCC"/>
              <w:left w:val="none" w:sz="4" w:space="0" w:color="CCCCCC"/>
              <w:bottom w:val="single" w:sz="4" w:space="0" w:color="CCCCCC"/>
              <w:right w:val="none" w:sz="4" w:space="0" w:color="CCCCCC"/>
            </w:tcBorders>
            <w:tcMar>
              <w:top w:w="80" w:type="dxa"/>
              <w:bottom w:w="80" w:type="dxa"/>
              <w:left w:w="150" w:type="dxa"/>
              <w:right w:w="150" w:type="dxa"/>
            </w:tcMar>
          </w:tcPr>
          <w:p>
            <w:r>
              <w:rPr>
                <w:rFonts w:ascii="Times New Roman" w:hAnsi="Times New Roman"/>
                <w:sz w:val="21"/>
              </w:rPr>
              <w:t>Clinical History</w:t>
            </w:r>
          </w:p>
        </w:tc>
        <w:tc>
          <w:tcPr>
            <w:tcW w:type="dxa" w:w="2592"/>
            <w:shd w:fill="F2F2F2"/>
            <w:tcBorders>
              <w:top w:val="single" w:sz="4" w:space="0" w:color="CCCCCC"/>
              <w:left w:val="none" w:sz="4" w:space="0" w:color="CCCCCC"/>
              <w:bottom w:val="single" w:sz="4" w:space="0" w:color="CCCCCC"/>
              <w:right w:val="none" w:sz="4" w:space="0" w:color="CCCCCC"/>
            </w:tcBorders>
            <w:tcMar>
              <w:top w:w="80" w:type="dxa"/>
              <w:bottom w:w="80" w:type="dxa"/>
              <w:left w:w="150" w:type="dxa"/>
              <w:right w:w="150" w:type="dxa"/>
            </w:tcMar>
          </w:tcPr>
          <w:p>
            <w:r>
              <w:rPr>
                <w:rFonts w:ascii="Times New Roman" w:hAnsi="Times New Roman"/>
                <w:sz w:val="21"/>
              </w:rPr>
              <w:t>charlson_comorbidity_count</w:t>
            </w:r>
          </w:p>
        </w:tc>
        <w:tc>
          <w:tcPr>
            <w:tcW w:type="dxa" w:w="1584"/>
            <w:shd w:fill="F2F2F2"/>
            <w:tcBorders>
              <w:top w:val="single" w:sz="4" w:space="0" w:color="CCCCCC"/>
              <w:left w:val="none" w:sz="4" w:space="0" w:color="CCCCCC"/>
              <w:bottom w:val="single" w:sz="4" w:space="0" w:color="CCCCCC"/>
              <w:right w:val="none" w:sz="4" w:space="0" w:color="CCCCCC"/>
            </w:tcBorders>
            <w:tcMar>
              <w:top w:w="80" w:type="dxa"/>
              <w:bottom w:w="80" w:type="dxa"/>
              <w:left w:w="150" w:type="dxa"/>
              <w:right w:w="150" w:type="dxa"/>
            </w:tcMar>
          </w:tcPr>
          <w:p>
            <w:r>
              <w:rPr>
                <w:rFonts w:ascii="Times New Roman" w:hAnsi="Times New Roman"/>
                <w:sz w:val="21"/>
              </w:rPr>
              <w:t>Integer</w:t>
            </w:r>
          </w:p>
        </w:tc>
        <w:tc>
          <w:tcPr>
            <w:tcW w:type="dxa" w:w="4032"/>
            <w:shd w:fill="F2F2F2"/>
            <w:tcBorders>
              <w:top w:val="single" w:sz="4" w:space="0" w:color="CCCCCC"/>
              <w:left w:val="none" w:sz="4" w:space="0" w:color="CCCCCC"/>
              <w:bottom w:val="single" w:sz="4" w:space="0" w:color="CCCCCC"/>
              <w:right w:val="none" w:sz="4" w:space="0" w:color="CCCCCC"/>
            </w:tcBorders>
            <w:tcMar>
              <w:top w:w="80" w:type="dxa"/>
              <w:bottom w:w="80" w:type="dxa"/>
              <w:left w:w="150" w:type="dxa"/>
              <w:right w:w="150" w:type="dxa"/>
            </w:tcMar>
          </w:tcPr>
          <w:p>
            <w:r>
              <w:rPr>
                <w:rFonts w:ascii="Times New Roman" w:hAnsi="Times New Roman"/>
                <w:sz w:val="21"/>
              </w:rPr>
              <w:t>Validated Charlson Comorbidity Index score (0 - 12)</w:t>
            </w:r>
          </w:p>
        </w:tc>
      </w:tr>
      <w:tr>
        <w:tc>
          <w:tcPr>
            <w:tcW w:type="dxa" w:w="1872"/>
            <w:shd w:fill="FFFFFF"/>
            <w:tcBorders>
              <w:top w:val="single" w:sz="4" w:space="0" w:color="CCCCCC"/>
              <w:left w:val="none" w:sz="4" w:space="0" w:color="CCCCCC"/>
              <w:bottom w:val="single" w:sz="4" w:space="0" w:color="CCCCCC"/>
              <w:right w:val="none" w:sz="4" w:space="0" w:color="CCCCCC"/>
            </w:tcBorders>
            <w:tcMar>
              <w:top w:w="80" w:type="dxa"/>
              <w:bottom w:w="80" w:type="dxa"/>
              <w:left w:w="150" w:type="dxa"/>
              <w:right w:w="150" w:type="dxa"/>
            </w:tcMar>
          </w:tcPr>
          <w:p>
            <w:r>
              <w:rPr>
                <w:rFonts w:ascii="Times New Roman" w:hAnsi="Times New Roman"/>
                <w:sz w:val="21"/>
              </w:rPr>
              <w:t>Clinical History</w:t>
            </w:r>
          </w:p>
        </w:tc>
        <w:tc>
          <w:tcPr>
            <w:tcW w:type="dxa" w:w="2592"/>
            <w:shd w:fill="FFFFFF"/>
            <w:tcBorders>
              <w:top w:val="single" w:sz="4" w:space="0" w:color="CCCCCC"/>
              <w:left w:val="none" w:sz="4" w:space="0" w:color="CCCCCC"/>
              <w:bottom w:val="single" w:sz="4" w:space="0" w:color="CCCCCC"/>
              <w:right w:val="none" w:sz="4" w:space="0" w:color="CCCCCC"/>
            </w:tcBorders>
            <w:tcMar>
              <w:top w:w="80" w:type="dxa"/>
              <w:bottom w:w="80" w:type="dxa"/>
              <w:left w:w="150" w:type="dxa"/>
              <w:right w:w="150" w:type="dxa"/>
            </w:tcMar>
          </w:tcPr>
          <w:p>
            <w:r>
              <w:rPr>
                <w:rFonts w:ascii="Times New Roman" w:hAnsi="Times New Roman"/>
                <w:sz w:val="21"/>
              </w:rPr>
              <w:t>prior_inpatient_admissions_12m</w:t>
            </w:r>
          </w:p>
        </w:tc>
        <w:tc>
          <w:tcPr>
            <w:tcW w:type="dxa" w:w="1584"/>
            <w:shd w:fill="FFFFFF"/>
            <w:tcBorders>
              <w:top w:val="single" w:sz="4" w:space="0" w:color="CCCCCC"/>
              <w:left w:val="none" w:sz="4" w:space="0" w:color="CCCCCC"/>
              <w:bottom w:val="single" w:sz="4" w:space="0" w:color="CCCCCC"/>
              <w:right w:val="none" w:sz="4" w:space="0" w:color="CCCCCC"/>
            </w:tcBorders>
            <w:tcMar>
              <w:top w:w="80" w:type="dxa"/>
              <w:bottom w:w="80" w:type="dxa"/>
              <w:left w:w="150" w:type="dxa"/>
              <w:right w:w="150" w:type="dxa"/>
            </w:tcMar>
          </w:tcPr>
          <w:p>
            <w:r>
              <w:rPr>
                <w:rFonts w:ascii="Times New Roman" w:hAnsi="Times New Roman"/>
                <w:sz w:val="21"/>
              </w:rPr>
              <w:t>Integer</w:t>
            </w:r>
          </w:p>
        </w:tc>
        <w:tc>
          <w:tcPr>
            <w:tcW w:type="dxa" w:w="4032"/>
            <w:shd w:fill="FFFFFF"/>
            <w:tcBorders>
              <w:top w:val="single" w:sz="4" w:space="0" w:color="CCCCCC"/>
              <w:left w:val="none" w:sz="4" w:space="0" w:color="CCCCCC"/>
              <w:bottom w:val="single" w:sz="4" w:space="0" w:color="CCCCCC"/>
              <w:right w:val="none" w:sz="4" w:space="0" w:color="CCCCCC"/>
            </w:tcBorders>
            <w:tcMar>
              <w:top w:w="80" w:type="dxa"/>
              <w:bottom w:w="80" w:type="dxa"/>
              <w:left w:w="150" w:type="dxa"/>
              <w:right w:w="150" w:type="dxa"/>
            </w:tcMar>
          </w:tcPr>
          <w:p>
            <w:r>
              <w:rPr>
                <w:rFonts w:ascii="Times New Roman" w:hAnsi="Times New Roman"/>
                <w:sz w:val="21"/>
              </w:rPr>
              <w:t>Number of acute inpatient admissions in trailing 365 days</w:t>
            </w:r>
          </w:p>
        </w:tc>
      </w:tr>
      <w:tr>
        <w:tc>
          <w:tcPr>
            <w:tcW w:type="dxa" w:w="1872"/>
            <w:shd w:fill="F2F2F2"/>
            <w:tcBorders>
              <w:top w:val="single" w:sz="4" w:space="0" w:color="CCCCCC"/>
              <w:left w:val="none" w:sz="4" w:space="0" w:color="CCCCCC"/>
              <w:bottom w:val="single" w:sz="4" w:space="0" w:color="CCCCCC"/>
              <w:right w:val="none" w:sz="4" w:space="0" w:color="CCCCCC"/>
            </w:tcBorders>
            <w:tcMar>
              <w:top w:w="80" w:type="dxa"/>
              <w:bottom w:w="80" w:type="dxa"/>
              <w:left w:w="150" w:type="dxa"/>
              <w:right w:w="150" w:type="dxa"/>
            </w:tcMar>
          </w:tcPr>
          <w:p>
            <w:r>
              <w:rPr>
                <w:rFonts w:ascii="Times New Roman" w:hAnsi="Times New Roman"/>
                <w:sz w:val="21"/>
              </w:rPr>
              <w:t>Pharmacology</w:t>
            </w:r>
          </w:p>
        </w:tc>
        <w:tc>
          <w:tcPr>
            <w:tcW w:type="dxa" w:w="2592"/>
            <w:shd w:fill="F2F2F2"/>
            <w:tcBorders>
              <w:top w:val="single" w:sz="4" w:space="0" w:color="CCCCCC"/>
              <w:left w:val="none" w:sz="4" w:space="0" w:color="CCCCCC"/>
              <w:bottom w:val="single" w:sz="4" w:space="0" w:color="CCCCCC"/>
              <w:right w:val="none" w:sz="4" w:space="0" w:color="CCCCCC"/>
            </w:tcBorders>
            <w:tcMar>
              <w:top w:w="80" w:type="dxa"/>
              <w:bottom w:w="80" w:type="dxa"/>
              <w:left w:w="150" w:type="dxa"/>
              <w:right w:w="150" w:type="dxa"/>
            </w:tcMar>
          </w:tcPr>
          <w:p>
            <w:r>
              <w:rPr>
                <w:rFonts w:ascii="Times New Roman" w:hAnsi="Times New Roman"/>
                <w:sz w:val="21"/>
              </w:rPr>
              <w:t>prescribed_medication_count</w:t>
            </w:r>
          </w:p>
        </w:tc>
        <w:tc>
          <w:tcPr>
            <w:tcW w:type="dxa" w:w="1584"/>
            <w:shd w:fill="F2F2F2"/>
            <w:tcBorders>
              <w:top w:val="single" w:sz="4" w:space="0" w:color="CCCCCC"/>
              <w:left w:val="none" w:sz="4" w:space="0" w:color="CCCCCC"/>
              <w:bottom w:val="single" w:sz="4" w:space="0" w:color="CCCCCC"/>
              <w:right w:val="none" w:sz="4" w:space="0" w:color="CCCCCC"/>
            </w:tcBorders>
            <w:tcMar>
              <w:top w:w="80" w:type="dxa"/>
              <w:bottom w:w="80" w:type="dxa"/>
              <w:left w:w="150" w:type="dxa"/>
              <w:right w:w="150" w:type="dxa"/>
            </w:tcMar>
          </w:tcPr>
          <w:p>
            <w:r>
              <w:rPr>
                <w:rFonts w:ascii="Times New Roman" w:hAnsi="Times New Roman"/>
                <w:sz w:val="21"/>
              </w:rPr>
              <w:t>Integer</w:t>
            </w:r>
          </w:p>
        </w:tc>
        <w:tc>
          <w:tcPr>
            <w:tcW w:type="dxa" w:w="4032"/>
            <w:shd w:fill="F2F2F2"/>
            <w:tcBorders>
              <w:top w:val="single" w:sz="4" w:space="0" w:color="CCCCCC"/>
              <w:left w:val="none" w:sz="4" w:space="0" w:color="CCCCCC"/>
              <w:bottom w:val="single" w:sz="4" w:space="0" w:color="CCCCCC"/>
              <w:right w:val="none" w:sz="4" w:space="0" w:color="CCCCCC"/>
            </w:tcBorders>
            <w:tcMar>
              <w:top w:w="80" w:type="dxa"/>
              <w:bottom w:w="80" w:type="dxa"/>
              <w:left w:w="150" w:type="dxa"/>
              <w:right w:w="150" w:type="dxa"/>
            </w:tcMar>
          </w:tcPr>
          <w:p>
            <w:r>
              <w:rPr>
                <w:rFonts w:ascii="Times New Roman" w:hAnsi="Times New Roman"/>
                <w:sz w:val="21"/>
              </w:rPr>
              <w:t>Total distinct active medications at discharge (Polypharmacy indicator)</w:t>
            </w:r>
          </w:p>
        </w:tc>
      </w:tr>
      <w:tr>
        <w:tc>
          <w:tcPr>
            <w:tcW w:type="dxa" w:w="1872"/>
            <w:shd w:fill="FFFFFF"/>
            <w:tcBorders>
              <w:top w:val="single" w:sz="4" w:space="0" w:color="CCCCCC"/>
              <w:left w:val="none" w:sz="4" w:space="0" w:color="CCCCCC"/>
              <w:bottom w:val="single" w:sz="4" w:space="0" w:color="CCCCCC"/>
              <w:right w:val="none" w:sz="4" w:space="0" w:color="CCCCCC"/>
            </w:tcBorders>
            <w:tcMar>
              <w:top w:w="80" w:type="dxa"/>
              <w:bottom w:w="80" w:type="dxa"/>
              <w:left w:w="150" w:type="dxa"/>
              <w:right w:w="150" w:type="dxa"/>
            </w:tcMar>
          </w:tcPr>
          <w:p>
            <w:r>
              <w:rPr>
                <w:rFonts w:ascii="Times New Roman" w:hAnsi="Times New Roman"/>
                <w:sz w:val="21"/>
              </w:rPr>
              <w:t>Laboratory</w:t>
            </w:r>
          </w:p>
        </w:tc>
        <w:tc>
          <w:tcPr>
            <w:tcW w:type="dxa" w:w="2592"/>
            <w:shd w:fill="FFFFFF"/>
            <w:tcBorders>
              <w:top w:val="single" w:sz="4" w:space="0" w:color="CCCCCC"/>
              <w:left w:val="none" w:sz="4" w:space="0" w:color="CCCCCC"/>
              <w:bottom w:val="single" w:sz="4" w:space="0" w:color="CCCCCC"/>
              <w:right w:val="none" w:sz="4" w:space="0" w:color="CCCCCC"/>
            </w:tcBorders>
            <w:tcMar>
              <w:top w:w="80" w:type="dxa"/>
              <w:bottom w:w="80" w:type="dxa"/>
              <w:left w:w="150" w:type="dxa"/>
              <w:right w:w="150" w:type="dxa"/>
            </w:tcMar>
          </w:tcPr>
          <w:p>
            <w:r>
              <w:rPr>
                <w:rFonts w:ascii="Times New Roman" w:hAnsi="Times New Roman"/>
                <w:sz w:val="21"/>
              </w:rPr>
              <w:t>hba1c_level</w:t>
            </w:r>
          </w:p>
        </w:tc>
        <w:tc>
          <w:tcPr>
            <w:tcW w:type="dxa" w:w="1584"/>
            <w:shd w:fill="FFFFFF"/>
            <w:tcBorders>
              <w:top w:val="single" w:sz="4" w:space="0" w:color="CCCCCC"/>
              <w:left w:val="none" w:sz="4" w:space="0" w:color="CCCCCC"/>
              <w:bottom w:val="single" w:sz="4" w:space="0" w:color="CCCCCC"/>
              <w:right w:val="none" w:sz="4" w:space="0" w:color="CCCCCC"/>
            </w:tcBorders>
            <w:tcMar>
              <w:top w:w="80" w:type="dxa"/>
              <w:bottom w:w="80" w:type="dxa"/>
              <w:left w:w="150" w:type="dxa"/>
              <w:right w:w="150" w:type="dxa"/>
            </w:tcMar>
          </w:tcPr>
          <w:p>
            <w:r>
              <w:rPr>
                <w:rFonts w:ascii="Times New Roman" w:hAnsi="Times New Roman"/>
                <w:sz w:val="21"/>
              </w:rPr>
              <w:t>Float</w:t>
            </w:r>
          </w:p>
        </w:tc>
        <w:tc>
          <w:tcPr>
            <w:tcW w:type="dxa" w:w="4032"/>
            <w:shd w:fill="FFFFFF"/>
            <w:tcBorders>
              <w:top w:val="single" w:sz="4" w:space="0" w:color="CCCCCC"/>
              <w:left w:val="none" w:sz="4" w:space="0" w:color="CCCCCC"/>
              <w:bottom w:val="single" w:sz="4" w:space="0" w:color="CCCCCC"/>
              <w:right w:val="none" w:sz="4" w:space="0" w:color="CCCCCC"/>
            </w:tcBorders>
            <w:tcMar>
              <w:top w:w="80" w:type="dxa"/>
              <w:bottom w:w="80" w:type="dxa"/>
              <w:left w:w="150" w:type="dxa"/>
              <w:right w:w="150" w:type="dxa"/>
            </w:tcMar>
          </w:tcPr>
          <w:p>
            <w:r>
              <w:rPr>
                <w:rFonts w:ascii="Times New Roman" w:hAnsi="Times New Roman"/>
                <w:sz w:val="21"/>
              </w:rPr>
              <w:t>Hemoglobin A1c glycemic control test (Bounded: 4.0 - 16.0 %)</w:t>
            </w:r>
          </w:p>
        </w:tc>
      </w:tr>
      <w:tr>
        <w:tc>
          <w:tcPr>
            <w:tcW w:type="dxa" w:w="1872"/>
            <w:shd w:fill="F2F2F2"/>
            <w:tcBorders>
              <w:top w:val="single" w:sz="4" w:space="0" w:color="CCCCCC"/>
              <w:left w:val="none" w:sz="4" w:space="0" w:color="CCCCCC"/>
              <w:bottom w:val="single" w:sz="4" w:space="0" w:color="CCCCCC"/>
              <w:right w:val="none" w:sz="4" w:space="0" w:color="CCCCCC"/>
            </w:tcBorders>
            <w:tcMar>
              <w:top w:w="80" w:type="dxa"/>
              <w:bottom w:w="80" w:type="dxa"/>
              <w:left w:w="150" w:type="dxa"/>
              <w:right w:w="150" w:type="dxa"/>
            </w:tcMar>
          </w:tcPr>
          <w:p>
            <w:r>
              <w:rPr>
                <w:rFonts w:ascii="Times New Roman" w:hAnsi="Times New Roman"/>
                <w:sz w:val="21"/>
              </w:rPr>
              <w:t>Laboratory</w:t>
            </w:r>
          </w:p>
        </w:tc>
        <w:tc>
          <w:tcPr>
            <w:tcW w:type="dxa" w:w="2592"/>
            <w:shd w:fill="F2F2F2"/>
            <w:tcBorders>
              <w:top w:val="single" w:sz="4" w:space="0" w:color="CCCCCC"/>
              <w:left w:val="none" w:sz="4" w:space="0" w:color="CCCCCC"/>
              <w:bottom w:val="single" w:sz="4" w:space="0" w:color="CCCCCC"/>
              <w:right w:val="none" w:sz="4" w:space="0" w:color="CCCCCC"/>
            </w:tcBorders>
            <w:tcMar>
              <w:top w:w="80" w:type="dxa"/>
              <w:bottom w:w="80" w:type="dxa"/>
              <w:left w:w="150" w:type="dxa"/>
              <w:right w:w="150" w:type="dxa"/>
            </w:tcMar>
          </w:tcPr>
          <w:p>
            <w:r>
              <w:rPr>
                <w:rFonts w:ascii="Times New Roman" w:hAnsi="Times New Roman"/>
                <w:sz w:val="21"/>
              </w:rPr>
              <w:t>serum_creatinine_mg_dl</w:t>
            </w:r>
          </w:p>
        </w:tc>
        <w:tc>
          <w:tcPr>
            <w:tcW w:type="dxa" w:w="1584"/>
            <w:shd w:fill="F2F2F2"/>
            <w:tcBorders>
              <w:top w:val="single" w:sz="4" w:space="0" w:color="CCCCCC"/>
              <w:left w:val="none" w:sz="4" w:space="0" w:color="CCCCCC"/>
              <w:bottom w:val="single" w:sz="4" w:space="0" w:color="CCCCCC"/>
              <w:right w:val="none" w:sz="4" w:space="0" w:color="CCCCCC"/>
            </w:tcBorders>
            <w:tcMar>
              <w:top w:w="80" w:type="dxa"/>
              <w:bottom w:w="80" w:type="dxa"/>
              <w:left w:w="150" w:type="dxa"/>
              <w:right w:w="150" w:type="dxa"/>
            </w:tcMar>
          </w:tcPr>
          <w:p>
            <w:r>
              <w:rPr>
                <w:rFonts w:ascii="Times New Roman" w:hAnsi="Times New Roman"/>
                <w:sz w:val="21"/>
              </w:rPr>
              <w:t>Float</w:t>
            </w:r>
          </w:p>
        </w:tc>
        <w:tc>
          <w:tcPr>
            <w:tcW w:type="dxa" w:w="4032"/>
            <w:shd w:fill="F2F2F2"/>
            <w:tcBorders>
              <w:top w:val="single" w:sz="4" w:space="0" w:color="CCCCCC"/>
              <w:left w:val="none" w:sz="4" w:space="0" w:color="CCCCCC"/>
              <w:bottom w:val="single" w:sz="4" w:space="0" w:color="CCCCCC"/>
              <w:right w:val="none" w:sz="4" w:space="0" w:color="CCCCCC"/>
            </w:tcBorders>
            <w:tcMar>
              <w:top w:w="80" w:type="dxa"/>
              <w:bottom w:w="80" w:type="dxa"/>
              <w:left w:w="150" w:type="dxa"/>
              <w:right w:w="150" w:type="dxa"/>
            </w:tcMar>
          </w:tcPr>
          <w:p>
            <w:r>
              <w:rPr>
                <w:rFonts w:ascii="Times New Roman" w:hAnsi="Times New Roman"/>
                <w:sz w:val="21"/>
              </w:rPr>
              <w:t>Renal function biomarker (Bounded: 0.4 - 12.0 mg/dL)</w:t>
            </w:r>
          </w:p>
        </w:tc>
      </w:tr>
      <w:tr>
        <w:tc>
          <w:tcPr>
            <w:tcW w:type="dxa" w:w="1872"/>
            <w:shd w:fill="FFFFFF"/>
            <w:tcBorders>
              <w:top w:val="single" w:sz="4" w:space="0" w:color="CCCCCC"/>
              <w:left w:val="none" w:sz="4" w:space="0" w:color="CCCCCC"/>
              <w:bottom w:val="single" w:sz="4" w:space="0" w:color="CCCCCC"/>
              <w:right w:val="none" w:sz="4" w:space="0" w:color="CCCCCC"/>
            </w:tcBorders>
            <w:tcMar>
              <w:top w:w="80" w:type="dxa"/>
              <w:bottom w:w="80" w:type="dxa"/>
              <w:left w:w="150" w:type="dxa"/>
              <w:right w:w="150" w:type="dxa"/>
            </w:tcMar>
          </w:tcPr>
          <w:p>
            <w:r>
              <w:rPr>
                <w:rFonts w:ascii="Times New Roman" w:hAnsi="Times New Roman"/>
                <w:sz w:val="21"/>
              </w:rPr>
              <w:t>Vitals</w:t>
            </w:r>
          </w:p>
        </w:tc>
        <w:tc>
          <w:tcPr>
            <w:tcW w:type="dxa" w:w="2592"/>
            <w:shd w:fill="FFFFFF"/>
            <w:tcBorders>
              <w:top w:val="single" w:sz="4" w:space="0" w:color="CCCCCC"/>
              <w:left w:val="none" w:sz="4" w:space="0" w:color="CCCCCC"/>
              <w:bottom w:val="single" w:sz="4" w:space="0" w:color="CCCCCC"/>
              <w:right w:val="none" w:sz="4" w:space="0" w:color="CCCCCC"/>
            </w:tcBorders>
            <w:tcMar>
              <w:top w:w="80" w:type="dxa"/>
              <w:bottom w:w="80" w:type="dxa"/>
              <w:left w:w="150" w:type="dxa"/>
              <w:right w:w="150" w:type="dxa"/>
            </w:tcMar>
          </w:tcPr>
          <w:p>
            <w:r>
              <w:rPr>
                <w:rFonts w:ascii="Times New Roman" w:hAnsi="Times New Roman"/>
                <w:sz w:val="21"/>
              </w:rPr>
              <w:t>systolic_blood_pressure</w:t>
            </w:r>
          </w:p>
        </w:tc>
        <w:tc>
          <w:tcPr>
            <w:tcW w:type="dxa" w:w="1584"/>
            <w:shd w:fill="FFFFFF"/>
            <w:tcBorders>
              <w:top w:val="single" w:sz="4" w:space="0" w:color="CCCCCC"/>
              <w:left w:val="none" w:sz="4" w:space="0" w:color="CCCCCC"/>
              <w:bottom w:val="single" w:sz="4" w:space="0" w:color="CCCCCC"/>
              <w:right w:val="none" w:sz="4" w:space="0" w:color="CCCCCC"/>
            </w:tcBorders>
            <w:tcMar>
              <w:top w:w="80" w:type="dxa"/>
              <w:bottom w:w="80" w:type="dxa"/>
              <w:left w:w="150" w:type="dxa"/>
              <w:right w:w="150" w:type="dxa"/>
            </w:tcMar>
          </w:tcPr>
          <w:p>
            <w:r>
              <w:rPr>
                <w:rFonts w:ascii="Times New Roman" w:hAnsi="Times New Roman"/>
                <w:sz w:val="21"/>
              </w:rPr>
              <w:t>Integer</w:t>
            </w:r>
          </w:p>
        </w:tc>
        <w:tc>
          <w:tcPr>
            <w:tcW w:type="dxa" w:w="4032"/>
            <w:shd w:fill="FFFFFF"/>
            <w:tcBorders>
              <w:top w:val="single" w:sz="4" w:space="0" w:color="CCCCCC"/>
              <w:left w:val="none" w:sz="4" w:space="0" w:color="CCCCCC"/>
              <w:bottom w:val="single" w:sz="4" w:space="0" w:color="CCCCCC"/>
              <w:right w:val="none" w:sz="4" w:space="0" w:color="CCCCCC"/>
            </w:tcBorders>
            <w:tcMar>
              <w:top w:w="80" w:type="dxa"/>
              <w:bottom w:w="80" w:type="dxa"/>
              <w:left w:w="150" w:type="dxa"/>
              <w:right w:w="150" w:type="dxa"/>
            </w:tcMar>
          </w:tcPr>
          <w:p>
            <w:r>
              <w:rPr>
                <w:rFonts w:ascii="Times New Roman" w:hAnsi="Times New Roman"/>
                <w:sz w:val="21"/>
              </w:rPr>
              <w:t>Resting systolic arterial blood pressure (Bounded: 70 - 240 mmHg)</w:t>
            </w:r>
          </w:p>
        </w:tc>
      </w:tr>
      <w:tr>
        <w:tc>
          <w:tcPr>
            <w:tcW w:type="dxa" w:w="1872"/>
            <w:shd w:fill="F2F2F2"/>
            <w:tcBorders>
              <w:top w:val="single" w:sz="4" w:space="0" w:color="CCCCCC"/>
              <w:left w:val="none" w:sz="4" w:space="0" w:color="CCCCCC"/>
              <w:bottom w:val="single" w:sz="4" w:space="0" w:color="CCCCCC"/>
              <w:right w:val="none" w:sz="4" w:space="0" w:color="CCCCCC"/>
            </w:tcBorders>
            <w:tcMar>
              <w:top w:w="80" w:type="dxa"/>
              <w:bottom w:w="80" w:type="dxa"/>
              <w:left w:w="150" w:type="dxa"/>
              <w:right w:w="150" w:type="dxa"/>
            </w:tcMar>
          </w:tcPr>
          <w:p>
            <w:r>
              <w:rPr>
                <w:rFonts w:ascii="Times New Roman" w:hAnsi="Times New Roman"/>
                <w:sz w:val="21"/>
              </w:rPr>
              <w:t>Target Outcome</w:t>
            </w:r>
          </w:p>
        </w:tc>
        <w:tc>
          <w:tcPr>
            <w:tcW w:type="dxa" w:w="2592"/>
            <w:shd w:fill="F2F2F2"/>
            <w:tcBorders>
              <w:top w:val="single" w:sz="4" w:space="0" w:color="CCCCCC"/>
              <w:left w:val="none" w:sz="4" w:space="0" w:color="CCCCCC"/>
              <w:bottom w:val="single" w:sz="4" w:space="0" w:color="CCCCCC"/>
              <w:right w:val="none" w:sz="4" w:space="0" w:color="CCCCCC"/>
            </w:tcBorders>
            <w:tcMar>
              <w:top w:w="80" w:type="dxa"/>
              <w:bottom w:w="80" w:type="dxa"/>
              <w:left w:w="150" w:type="dxa"/>
              <w:right w:w="150" w:type="dxa"/>
            </w:tcMar>
          </w:tcPr>
          <w:p>
            <w:r>
              <w:rPr>
                <w:rFonts w:ascii="Times New Roman" w:hAnsi="Times New Roman"/>
                <w:sz w:val="21"/>
              </w:rPr>
              <w:t>readmitted_30d</w:t>
            </w:r>
          </w:p>
        </w:tc>
        <w:tc>
          <w:tcPr>
            <w:tcW w:type="dxa" w:w="1584"/>
            <w:shd w:fill="F2F2F2"/>
            <w:tcBorders>
              <w:top w:val="single" w:sz="4" w:space="0" w:color="CCCCCC"/>
              <w:left w:val="none" w:sz="4" w:space="0" w:color="CCCCCC"/>
              <w:bottom w:val="single" w:sz="4" w:space="0" w:color="CCCCCC"/>
              <w:right w:val="none" w:sz="4" w:space="0" w:color="CCCCCC"/>
            </w:tcBorders>
            <w:tcMar>
              <w:top w:w="80" w:type="dxa"/>
              <w:bottom w:w="80" w:type="dxa"/>
              <w:left w:w="150" w:type="dxa"/>
              <w:right w:w="150" w:type="dxa"/>
            </w:tcMar>
          </w:tcPr>
          <w:p>
            <w:r>
              <w:rPr>
                <w:rFonts w:ascii="Times New Roman" w:hAnsi="Times New Roman"/>
                <w:sz w:val="21"/>
              </w:rPr>
              <w:t>Binary (0/1)</w:t>
            </w:r>
          </w:p>
        </w:tc>
        <w:tc>
          <w:tcPr>
            <w:tcW w:type="dxa" w:w="4032"/>
            <w:shd w:fill="F2F2F2"/>
            <w:tcBorders>
              <w:top w:val="single" w:sz="4" w:space="0" w:color="CCCCCC"/>
              <w:left w:val="none" w:sz="4" w:space="0" w:color="CCCCCC"/>
              <w:bottom w:val="single" w:sz="4" w:space="0" w:color="CCCCCC"/>
              <w:right w:val="none" w:sz="4" w:space="0" w:color="CCCCCC"/>
            </w:tcBorders>
            <w:tcMar>
              <w:top w:w="80" w:type="dxa"/>
              <w:bottom w:w="80" w:type="dxa"/>
              <w:left w:w="150" w:type="dxa"/>
              <w:right w:w="150" w:type="dxa"/>
            </w:tcMar>
          </w:tcPr>
          <w:p>
            <w:r>
              <w:rPr>
                <w:rFonts w:ascii="Times New Roman" w:hAnsi="Times New Roman"/>
                <w:sz w:val="21"/>
              </w:rPr>
              <w:t>Unplanned acute readmission within 30 days of discharge</w:t>
            </w:r>
          </w:p>
        </w:tc>
      </w:tr>
    </w:tbl>
    <w:p>
      <w:pPr>
        <w:spacing w:after="120"/>
      </w:pPr>
    </w:p>
    <w:p>
      <w:pPr>
        <w:keepNext/>
        <w:spacing w:before="280" w:after="80"/>
      </w:pPr>
      <w:r>
        <w:rPr>
          <w:rFonts w:ascii="Times New Roman" w:hAnsi="Times New Roman"/>
          <w:b/>
          <w:color w:val="002060"/>
          <w:sz w:val="30"/>
        </w:rPr>
        <w:t>4. Healthcare Data Quality Assurance Framework</w:t>
      </w:r>
    </w:p>
    <w:p>
      <w:pPr>
        <w:spacing w:line="276" w:lineRule="auto" w:after="120"/>
      </w:pPr>
      <w:r>
        <w:rPr>
          <w:rFonts w:ascii="Times New Roman" w:hAnsi="Times New Roman"/>
          <w:sz w:val="24"/>
        </w:rPr>
        <w:t>Healthcare data is notoriously messy, subject to clinician documentation variability, automated telemetry dropouts, and coding discrepancies. We adopt the Kahn Harmonized Data Quality Framework, which evaluates data across four essential dimensions:</w:t>
      </w:r>
    </w:p>
    <w:p>
      <w:pPr>
        <w:pStyle w:val="ListBullet"/>
        <w:spacing w:line="276" w:lineRule="auto" w:after="60"/>
      </w:pPr>
      <w:r>
        <w:rPr>
          <w:rFonts w:ascii="Times New Roman" w:hAnsi="Times New Roman"/>
          <w:b/>
          <w:sz w:val="24"/>
        </w:rPr>
        <w:t xml:space="preserve">Completeness: </w:t>
      </w:r>
      <w:r>
        <w:rPr>
          <w:rFonts w:ascii="Times New Roman" w:hAnsi="Times New Roman"/>
          <w:sz w:val="24"/>
        </w:rPr>
        <w:t>Quantifying missingness across required administrative and clinical fields. Zero tolerance for missing target labels or admission dates; controlled imputation for laboratory results.</w:t>
      </w:r>
    </w:p>
    <w:p>
      <w:pPr>
        <w:pStyle w:val="ListBullet"/>
        <w:spacing w:line="276" w:lineRule="auto" w:after="60"/>
      </w:pPr>
      <w:r>
        <w:rPr>
          <w:rFonts w:ascii="Times New Roman" w:hAnsi="Times New Roman"/>
          <w:b/>
          <w:sz w:val="24"/>
        </w:rPr>
        <w:t xml:space="preserve">Conformance: </w:t>
      </w:r>
      <w:r>
        <w:rPr>
          <w:rFonts w:ascii="Times New Roman" w:hAnsi="Times New Roman"/>
          <w:sz w:val="24"/>
        </w:rPr>
        <w:t>Adherence to standardized healthcare data formats and vocabularies (ICD-10-CM for diagnoses, LOINC for laboratory observations, RxNorm for medications).</w:t>
      </w:r>
    </w:p>
    <w:p>
      <w:pPr>
        <w:pStyle w:val="ListBullet"/>
        <w:spacing w:line="276" w:lineRule="auto" w:after="60"/>
      </w:pPr>
      <w:r>
        <w:rPr>
          <w:rFonts w:ascii="Times New Roman" w:hAnsi="Times New Roman"/>
          <w:b/>
          <w:sz w:val="24"/>
        </w:rPr>
        <w:t xml:space="preserve">Plausibility: </w:t>
      </w:r>
      <w:r>
        <w:rPr>
          <w:rFonts w:ascii="Times New Roman" w:hAnsi="Times New Roman"/>
          <w:sz w:val="24"/>
        </w:rPr>
        <w:t>Biological and physical validity checking. Ensuring physiological vitals fall within medically survivable thresholds (e.g., blood pressure, serum potassium, heart rate).</w:t>
      </w:r>
    </w:p>
    <w:p>
      <w:pPr>
        <w:pStyle w:val="ListBullet"/>
        <w:spacing w:line="276" w:lineRule="auto" w:after="60"/>
      </w:pPr>
      <w:r>
        <w:rPr>
          <w:rFonts w:ascii="Times New Roman" w:hAnsi="Times New Roman"/>
          <w:b/>
          <w:sz w:val="24"/>
        </w:rPr>
        <w:t xml:space="preserve">Temporal Consistency: </w:t>
      </w:r>
      <w:r>
        <w:rPr>
          <w:rFonts w:ascii="Times New Roman" w:hAnsi="Times New Roman"/>
          <w:sz w:val="24"/>
        </w:rPr>
        <w:t>Ensuring logical chronological sequencing: Admission Timestamp &lt; Procedure Timestamp &lt; Discharge Timestamp &lt; Readmission Timestamp.</w:t>
      </w:r>
    </w:p>
    <w:p>
      <w:pPr>
        <w:keepNext/>
        <w:spacing w:before="280" w:after="80"/>
      </w:pPr>
      <w:r>
        <w:rPr>
          <w:rFonts w:ascii="Times New Roman" w:hAnsi="Times New Roman"/>
          <w:b/>
          <w:color w:val="002060"/>
          <w:sz w:val="30"/>
        </w:rPr>
        <w:t>5. Data Cleansing and Harmonization Protocols</w:t>
      </w:r>
    </w:p>
    <w:p>
      <w:pPr>
        <w:spacing w:line="276" w:lineRule="auto" w:after="120"/>
      </w:pPr>
      <w:r>
        <w:rPr>
          <w:rFonts w:ascii="Times New Roman" w:hAnsi="Times New Roman"/>
          <w:sz w:val="24"/>
        </w:rPr>
        <w:t>To prepare the raw clinical records for downstream machine learning, an automated Python data-cleaning pipeline was implemented:</w:t>
      </w:r>
    </w:p>
    <w:p>
      <w:pPr>
        <w:pStyle w:val="ListBullet"/>
        <w:spacing w:line="276" w:lineRule="auto" w:after="60"/>
      </w:pPr>
      <w:r>
        <w:rPr>
          <w:rFonts w:ascii="Times New Roman" w:hAnsi="Times New Roman"/>
          <w:b/>
          <w:sz w:val="24"/>
        </w:rPr>
        <w:t xml:space="preserve">Missing Value Imputation: </w:t>
      </w:r>
      <w:r>
        <w:rPr>
          <w:rFonts w:ascii="Times New Roman" w:hAnsi="Times New Roman"/>
          <w:sz w:val="24"/>
        </w:rPr>
        <w:t>Missing laboratory values (e.g., HbA1c or serum creatinine where lab tests were not ordered during elective stays) were handled using MissForest and K-Nearest Neighbors (KNN) conditional on patient age and primary diagnosis, avoiding naive mean imputation that distorts clinical variance.</w:t>
      </w:r>
    </w:p>
    <w:p>
      <w:pPr>
        <w:pStyle w:val="ListBullet"/>
        <w:spacing w:line="276" w:lineRule="auto" w:after="60"/>
      </w:pPr>
      <w:r>
        <w:rPr>
          <w:rFonts w:ascii="Times New Roman" w:hAnsi="Times New Roman"/>
          <w:b/>
          <w:sz w:val="24"/>
        </w:rPr>
        <w:t xml:space="preserve">Physiological Outlier Treatment: </w:t>
      </w:r>
      <w:r>
        <w:rPr>
          <w:rFonts w:ascii="Times New Roman" w:hAnsi="Times New Roman"/>
          <w:sz w:val="24"/>
        </w:rPr>
        <w:t>Values violating physiological boundaries (e.g., systolic blood pressure &lt; 60 or &gt; 260 mmHg) were flagged as sensor artifacts. Extreme values were truncated using clinical Winsorization at the 1st and 99th percentiles rather than arbitrarily discarded.</w:t>
      </w:r>
    </w:p>
    <w:p>
      <w:pPr>
        <w:pStyle w:val="ListBullet"/>
        <w:spacing w:line="276" w:lineRule="auto" w:after="60"/>
      </w:pPr>
      <w:r>
        <w:rPr>
          <w:rFonts w:ascii="Times New Roman" w:hAnsi="Times New Roman"/>
          <w:b/>
          <w:sz w:val="24"/>
        </w:rPr>
        <w:t xml:space="preserve">Categorical Normalization: </w:t>
      </w:r>
      <w:r>
        <w:rPr>
          <w:rFonts w:ascii="Times New Roman" w:hAnsi="Times New Roman"/>
          <w:sz w:val="24"/>
        </w:rPr>
        <w:t>Standardized text entries for admission types and discharge dispositions into unified taxonomies aligned with CMS Uniform Inpatient Billing guidelines.</w:t>
      </w:r>
    </w:p>
    <w:p>
      <w:pPr>
        <w:pStyle w:val="ListBullet"/>
        <w:spacing w:line="276" w:lineRule="auto" w:after="60"/>
      </w:pPr>
      <w:r>
        <w:rPr>
          <w:rFonts w:ascii="Times New Roman" w:hAnsi="Times New Roman"/>
          <w:b/>
          <w:sz w:val="24"/>
        </w:rPr>
        <w:t xml:space="preserve">HIPAA De-Identification: </w:t>
      </w:r>
      <w:r>
        <w:rPr>
          <w:rFonts w:ascii="Times New Roman" w:hAnsi="Times New Roman"/>
          <w:sz w:val="24"/>
        </w:rPr>
        <w:t>Enforced HIPAA Safe Harbor de-identification rules: all direct patient identifiers (names, social security numbers, medical record numbers, phone numbers) were stripped and replaced with irreversible SHA-256 salted hashes.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787878"/>
        <w:sz w:val="18"/>
      </w:rPr>
      <w:t>Healthcare Data Analytics Capstone | Confidential Clinical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