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240"/>
        <w:jc w:val="center"/>
      </w:pPr>
      <w:r>
        <w:rPr>
          <w:rFonts w:ascii="Times New Roman" w:hAnsi="Times New Roman"/>
          <w:b/>
          <w:color w:val="002060"/>
          <w:sz w:val="40"/>
        </w:rPr>
        <w:t>HEALTHCARE DATA ANALYSIS PLANNING AND STRATEGY</w:t>
      </w:r>
    </w:p>
    <w:p>
      <w:pPr>
        <w:spacing w:after="360"/>
        <w:jc w:val="center"/>
      </w:pPr>
      <w:r>
        <w:rPr>
          <w:rFonts w:ascii="Times New Roman" w:hAnsi="Times New Roman"/>
          <w:i/>
          <w:color w:val="505050"/>
          <w:sz w:val="24"/>
        </w:rPr>
        <w:t>Strategic Project Charter, Scope Definition, and Analytical Roadmap</w:t>
        <w:br/>
        <w:t>Author: Ankit Kumar | Role: Healthcare Data Analyst Intern | Date: November 2025</w:t>
      </w:r>
    </w:p>
    <w:p>
      <w:pPr>
        <w:keepNext/>
        <w:spacing w:before="280" w:after="80"/>
      </w:pPr>
      <w:r>
        <w:rPr>
          <w:rFonts w:ascii="Times New Roman" w:hAnsi="Times New Roman"/>
          <w:b/>
          <w:color w:val="002060"/>
          <w:sz w:val="30"/>
        </w:rPr>
        <w:t>1. Executive Summary</w:t>
      </w:r>
    </w:p>
    <w:p>
      <w:pPr>
        <w:spacing w:line="276" w:lineRule="auto" w:after="120"/>
      </w:pPr>
      <w:r>
        <w:rPr>
          <w:rFonts w:ascii="Times New Roman" w:hAnsi="Times New Roman"/>
          <w:sz w:val="24"/>
        </w:rPr>
        <w:t>Modern healthcare systems generate vast volumes of transactional, clinical, and operational data across electronic health records (EHR), claims databases, and patient satisfaction surveys. Despite the availability of these rich data repositories, hospital networks continue to struggle with high rates of unplanned 30-day readmissions, wide variance in patient length of stay (LOS), and suboptimal clinical bed capacity management. In the United States, unplanned hospital readmissions account for over $26 billion in annual healthcare expenditures, with approximately $17 billion deemed clinically preventable. Under the Centers for Medicare &amp; Medicaid Services (CMS) Hospital Readmissions Reduction Program (HRRP), acute-care facilities face severe financial penalties—up to a 3% reduction in base operating DRG payments—if their risk-standardized readmission rates exceed national averages.</w:t>
      </w:r>
    </w:p>
    <w:p>
      <w:pPr>
        <w:spacing w:line="276" w:lineRule="auto" w:after="120"/>
      </w:pPr>
      <w:r>
        <w:rPr>
          <w:rFonts w:ascii="Times New Roman" w:hAnsi="Times New Roman"/>
          <w:sz w:val="24"/>
        </w:rPr>
        <w:t>This project establishes a comprehensive strategic framework for developing an enterprise-grade clinical analytics pipeline. The initiative aims to analyze patient trajectories across chronic illness cohorts—specifically Heart Failure, Acute Myocardial Infarction, Type 2 Diabetes, Pneumonia, and Sepsis—to identify systemic drivers of acute readmissions and length-of-stay anomalies. By structuring an end-to-end data strategy spanning data governance, multi-source ingestion, risk stratification modeling, and decision-support visual dashboards, this roadmap provides hospital leadership with actionable intelligence to reduce preventable readmissions by 18%, cut average LOS by 0.6 days, and avert federal regulatory penalties.</w:t>
      </w:r>
    </w:p>
    <w:p>
      <w:pPr>
        <w:keepNext/>
        <w:spacing w:before="280" w:after="80"/>
      </w:pPr>
      <w:r>
        <w:rPr>
          <w:rFonts w:ascii="Times New Roman" w:hAnsi="Times New Roman"/>
          <w:b/>
          <w:color w:val="002060"/>
          <w:sz w:val="30"/>
        </w:rPr>
        <w:t>2. Clinical Problem Definition and Business Objectives</w:t>
      </w:r>
    </w:p>
    <w:p>
      <w:pPr>
        <w:keepNext/>
        <w:spacing w:before="200" w:after="60"/>
      </w:pPr>
      <w:r>
        <w:rPr>
          <w:rFonts w:ascii="Times New Roman" w:hAnsi="Times New Roman"/>
          <w:b/>
          <w:color w:val="282828"/>
          <w:sz w:val="26"/>
        </w:rPr>
        <w:t>2.1 Problem Statement</w:t>
      </w:r>
    </w:p>
    <w:p>
      <w:pPr>
        <w:spacing w:line="276" w:lineRule="auto" w:after="120"/>
      </w:pPr>
      <w:r>
        <w:rPr>
          <w:rFonts w:ascii="Times New Roman" w:hAnsi="Times New Roman"/>
          <w:sz w:val="24"/>
        </w:rPr>
        <w:t>Hospital readmission within 30 days of discharge is widely regarded as a key indicator of healthcare delivery fragmentation, premature discharge, poor care coordination, and inadequate post-acute transitional support. High readmission frequencies create severe bed shortages in emergency departments and intensive care units, increasing operational strain on medical staff and elevating the risk of hospital-acquired complications. Clinicians currently lack real-time predictive risk scoring tools during discharge planning, relying instead on subjective clinical intuition or outdated static risk indices (such as the LACE Index) that fail to account for physiological lab trajectories, medication changes, and social determinants of health (SDOH).</w:t>
      </w:r>
    </w:p>
    <w:p>
      <w:pPr>
        <w:keepNext/>
        <w:spacing w:before="200" w:after="60"/>
      </w:pPr>
      <w:r>
        <w:rPr>
          <w:rFonts w:ascii="Times New Roman" w:hAnsi="Times New Roman"/>
          <w:b/>
          <w:color w:val="282828"/>
          <w:sz w:val="26"/>
        </w:rPr>
        <w:t>2.2 Core Business and Analytical Questions</w:t>
      </w:r>
    </w:p>
    <w:p>
      <w:pPr>
        <w:pStyle w:val="ListBullet"/>
        <w:spacing w:line="276" w:lineRule="auto" w:after="60"/>
      </w:pPr>
      <w:r>
        <w:rPr>
          <w:rFonts w:ascii="Times New Roman" w:hAnsi="Times New Roman"/>
          <w:b/>
          <w:sz w:val="24"/>
        </w:rPr>
        <w:t xml:space="preserve">Primary Readmission Drivers: </w:t>
      </w:r>
      <w:r>
        <w:rPr>
          <w:rFonts w:ascii="Times New Roman" w:hAnsi="Times New Roman"/>
          <w:sz w:val="24"/>
        </w:rPr>
        <w:t>What specific physiological, demographic, and pharmacological factors contribute most significantly to 30-day unplanned readmissions among complex chronic disease patients?</w:t>
      </w:r>
    </w:p>
    <w:p>
      <w:pPr>
        <w:pStyle w:val="ListBullet"/>
        <w:spacing w:line="276" w:lineRule="auto" w:after="60"/>
      </w:pPr>
      <w:r>
        <w:rPr>
          <w:rFonts w:ascii="Times New Roman" w:hAnsi="Times New Roman"/>
          <w:b/>
          <w:sz w:val="24"/>
        </w:rPr>
        <w:t xml:space="preserve">LOS Variation and Discharge Delays: </w:t>
      </w:r>
      <w:r>
        <w:rPr>
          <w:rFonts w:ascii="Times New Roman" w:hAnsi="Times New Roman"/>
          <w:sz w:val="24"/>
        </w:rPr>
        <w:t>Which clinical diagnostic categories exhibit the highest variance between anticipated and actual inpatient length of stay, and what operational bottlenecks drive these delays?</w:t>
      </w:r>
    </w:p>
    <w:p>
      <w:pPr>
        <w:pStyle w:val="ListBullet"/>
        <w:spacing w:line="276" w:lineRule="auto" w:after="60"/>
      </w:pPr>
      <w:r>
        <w:rPr>
          <w:rFonts w:ascii="Times New Roman" w:hAnsi="Times New Roman"/>
          <w:b/>
          <w:sz w:val="24"/>
        </w:rPr>
        <w:t xml:space="preserve">Clinical Risk Stratification: </w:t>
      </w:r>
      <w:r>
        <w:rPr>
          <w:rFonts w:ascii="Times New Roman" w:hAnsi="Times New Roman"/>
          <w:sz w:val="24"/>
        </w:rPr>
        <w:t>How accurately can machine learning regression and classification algorithms stratify inpatient risk upon admission and 24 hours prior to discharge?</w:t>
      </w:r>
    </w:p>
    <w:p>
      <w:pPr>
        <w:pStyle w:val="ListBullet"/>
        <w:spacing w:line="276" w:lineRule="auto" w:after="60"/>
      </w:pPr>
      <w:r>
        <w:rPr>
          <w:rFonts w:ascii="Times New Roman" w:hAnsi="Times New Roman"/>
          <w:b/>
          <w:sz w:val="24"/>
        </w:rPr>
        <w:t xml:space="preserve">Resource Allocation and Capacity: </w:t>
      </w:r>
      <w:r>
        <w:rPr>
          <w:rFonts w:ascii="Times New Roman" w:hAnsi="Times New Roman"/>
          <w:sz w:val="24"/>
        </w:rPr>
        <w:t>What bed-demand forecasting models enable nursing and departmental managers to balance staffing ratios across acute-care wards?</w:t>
      </w:r>
    </w:p>
    <w:p>
      <w:pPr>
        <w:keepNext/>
        <w:spacing w:before="200" w:after="60"/>
      </w:pPr>
      <w:r>
        <w:rPr>
          <w:rFonts w:ascii="Times New Roman" w:hAnsi="Times New Roman"/>
          <w:b/>
          <w:color w:val="282828"/>
          <w:sz w:val="26"/>
        </w:rPr>
        <w:t>2.3 Target Success Metrics (KPIs)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88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Key Performance Indicator (KPI)</w:t>
            </w:r>
          </w:p>
        </w:tc>
        <w:tc>
          <w:tcPr>
            <w:tcW w:type="dxa" w:w="1728"/>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Baseline Metric</w:t>
            </w:r>
          </w:p>
        </w:tc>
        <w:tc>
          <w:tcPr>
            <w:tcW w:type="dxa" w:w="216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6-Month Target</w:t>
            </w:r>
          </w:p>
        </w:tc>
        <w:tc>
          <w:tcPr>
            <w:tcW w:type="dxa" w:w="2592"/>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Primary Stakeholder Impact</w:t>
            </w:r>
          </w:p>
        </w:tc>
      </w:tr>
      <w:tr>
        <w:tc>
          <w:tcPr>
            <w:tcW w:type="dxa" w:w="288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All-Cause 30-Day Readmission Rate</w:t>
            </w:r>
          </w:p>
        </w:tc>
        <w:tc>
          <w:tcPr>
            <w:tcW w:type="dxa" w:w="172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21.4%</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17.5% (-18% relative)</w:t>
            </w:r>
          </w:p>
        </w:tc>
        <w:tc>
          <w:tcPr>
            <w:tcW w:type="dxa" w:w="259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Chief Medical Officer / CMS Compliance</w:t>
            </w:r>
          </w:p>
        </w:tc>
      </w:tr>
      <w:tr>
        <w:tc>
          <w:tcPr>
            <w:tcW w:type="dxa" w:w="288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Average Inpatient Length of Stay (ALOS)</w:t>
            </w:r>
          </w:p>
        </w:tc>
        <w:tc>
          <w:tcPr>
            <w:tcW w:type="dxa" w:w="172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5.8 Days</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5.2 Days (-0.6 days)</w:t>
            </w:r>
          </w:p>
        </w:tc>
        <w:tc>
          <w:tcPr>
            <w:tcW w:type="dxa" w:w="259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Director of Hospital Operations</w:t>
            </w:r>
          </w:p>
        </w:tc>
      </w:tr>
      <w:tr>
        <w:tc>
          <w:tcPr>
            <w:tcW w:type="dxa" w:w="288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Model Discrimination (ROC-AUC)</w:t>
            </w:r>
          </w:p>
        </w:tc>
        <w:tc>
          <w:tcPr>
            <w:tcW w:type="dxa" w:w="172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0.64 (LACE Index)</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0.82 (Gradient Boosting)</w:t>
            </w:r>
          </w:p>
        </w:tc>
        <w:tc>
          <w:tcPr>
            <w:tcW w:type="dxa" w:w="259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Clinical Informatics Team</w:t>
            </w:r>
          </w:p>
        </w:tc>
      </w:tr>
      <w:tr>
        <w:tc>
          <w:tcPr>
            <w:tcW w:type="dxa" w:w="288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HRRP Financial Penalty Savings</w:t>
            </w:r>
          </w:p>
        </w:tc>
        <w:tc>
          <w:tcPr>
            <w:tcW w:type="dxa" w:w="172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$1.85 Million Penalty</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$0 Penalty Threshold</w:t>
            </w:r>
          </w:p>
        </w:tc>
        <w:tc>
          <w:tcPr>
            <w:tcW w:type="dxa" w:w="259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Chief Financial Officer</w:t>
            </w:r>
          </w:p>
        </w:tc>
      </w:tr>
      <w:tr>
        <w:tc>
          <w:tcPr>
            <w:tcW w:type="dxa" w:w="288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Care Transition Outreach Compliance</w:t>
            </w:r>
          </w:p>
        </w:tc>
        <w:tc>
          <w:tcPr>
            <w:tcW w:type="dxa" w:w="172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38% within 48h</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85% within 48h</w:t>
            </w:r>
          </w:p>
        </w:tc>
        <w:tc>
          <w:tcPr>
            <w:tcW w:type="dxa" w:w="259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Care Coordination &amp; Nursing</w:t>
            </w:r>
          </w:p>
        </w:tc>
      </w:tr>
    </w:tbl>
    <w:p>
      <w:pPr>
        <w:spacing w:after="120"/>
      </w:pPr>
    </w:p>
    <w:p>
      <w:pPr>
        <w:keepNext/>
        <w:spacing w:before="280" w:after="80"/>
      </w:pPr>
      <w:r>
        <w:rPr>
          <w:rFonts w:ascii="Times New Roman" w:hAnsi="Times New Roman"/>
          <w:b/>
          <w:color w:val="002060"/>
          <w:sz w:val="30"/>
        </w:rPr>
        <w:t>3. Scope Definition and Stakeholder Ecosystem</w:t>
      </w:r>
    </w:p>
    <w:p>
      <w:pPr>
        <w:keepNext/>
        <w:spacing w:before="200" w:after="60"/>
      </w:pPr>
      <w:r>
        <w:rPr>
          <w:rFonts w:ascii="Times New Roman" w:hAnsi="Times New Roman"/>
          <w:b/>
          <w:color w:val="282828"/>
          <w:sz w:val="26"/>
        </w:rPr>
        <w:t>3.1 Project In-Scope and Out-of-Scope Boundaries</w:t>
      </w:r>
    </w:p>
    <w:p>
      <w:pPr>
        <w:pStyle w:val="ListBullet"/>
        <w:spacing w:line="276" w:lineRule="auto" w:after="60"/>
      </w:pPr>
      <w:r>
        <w:rPr>
          <w:rFonts w:ascii="Times New Roman" w:hAnsi="Times New Roman"/>
          <w:b/>
          <w:sz w:val="24"/>
        </w:rPr>
        <w:t xml:space="preserve">In-Scope: </w:t>
      </w:r>
      <w:r>
        <w:rPr>
          <w:rFonts w:ascii="Times New Roman" w:hAnsi="Times New Roman"/>
          <w:sz w:val="24"/>
        </w:rPr>
        <w:t>Historical inpatient electronic health record analysis (10,000+ patient admissions), laboratory panels (HbA1c, serum creatinine, WBC), vital signs, ICD-10 diagnostic and procedure codes, discharge disposition records, and 30-day post-acute utilization tracking.</w:t>
      </w:r>
    </w:p>
    <w:p>
      <w:pPr>
        <w:pStyle w:val="ListBullet"/>
        <w:spacing w:line="276" w:lineRule="auto" w:after="60"/>
      </w:pPr>
      <w:r>
        <w:rPr>
          <w:rFonts w:ascii="Times New Roman" w:hAnsi="Times New Roman"/>
          <w:b/>
          <w:sz w:val="24"/>
        </w:rPr>
        <w:t xml:space="preserve">In-Scope: </w:t>
      </w:r>
      <w:r>
        <w:rPr>
          <w:rFonts w:ascii="Times New Roman" w:hAnsi="Times New Roman"/>
          <w:sz w:val="24"/>
        </w:rPr>
        <w:t>Statistical hypothesis testing, cohort risk segmentation, feature engineering, predictive modeling benchmark (Logistic Regression, Random Forest, LightGBM, XGBoost), and Power BI / Tableau dashboard wireframes.</w:t>
      </w:r>
    </w:p>
    <w:p>
      <w:pPr>
        <w:pStyle w:val="ListBullet"/>
        <w:spacing w:line="276" w:lineRule="auto" w:after="60"/>
      </w:pPr>
      <w:r>
        <w:rPr>
          <w:rFonts w:ascii="Times New Roman" w:hAnsi="Times New Roman"/>
          <w:b/>
          <w:sz w:val="24"/>
        </w:rPr>
        <w:t xml:space="preserve">Out-of-Scope: </w:t>
      </w:r>
      <w:r>
        <w:rPr>
          <w:rFonts w:ascii="Times New Roman" w:hAnsi="Times New Roman"/>
          <w:sz w:val="24"/>
        </w:rPr>
        <w:t>Direct bedside deployment into active Cerner/Epic EHR production instances during the analytical development phase.</w:t>
      </w:r>
    </w:p>
    <w:p>
      <w:pPr>
        <w:pStyle w:val="ListBullet"/>
        <w:spacing w:line="276" w:lineRule="auto" w:after="60"/>
      </w:pPr>
      <w:r>
        <w:rPr>
          <w:rFonts w:ascii="Times New Roman" w:hAnsi="Times New Roman"/>
          <w:b/>
          <w:sz w:val="24"/>
        </w:rPr>
        <w:t xml:space="preserve">Out-of-Scope: </w:t>
      </w:r>
      <w:r>
        <w:rPr>
          <w:rFonts w:ascii="Times New Roman" w:hAnsi="Times New Roman"/>
          <w:sz w:val="24"/>
        </w:rPr>
        <w:t>Outpatient prescription refill telemetry and continuous home remote-monitoring IoT data streams.</w:t>
      </w:r>
    </w:p>
    <w:p>
      <w:pPr>
        <w:keepNext/>
        <w:spacing w:before="200" w:after="60"/>
      </w:pPr>
      <w:r>
        <w:rPr>
          <w:rFonts w:ascii="Times New Roman" w:hAnsi="Times New Roman"/>
          <w:b/>
          <w:color w:val="282828"/>
          <w:sz w:val="26"/>
        </w:rPr>
        <w:t>3.2 Stakeholder Matrix and Governance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Stakeholder Group</w:t>
            </w:r>
          </w:p>
        </w:tc>
        <w:tc>
          <w:tcPr>
            <w:tcW w:type="dxa" w:w="2592"/>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Key Interests &amp; Priorities</w:t>
            </w:r>
          </w:p>
        </w:tc>
        <w:tc>
          <w:tcPr>
            <w:tcW w:type="dxa" w:w="2016"/>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Engagement Cadence</w:t>
            </w:r>
          </w:p>
        </w:tc>
        <w:tc>
          <w:tcPr>
            <w:tcW w:type="dxa" w:w="216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Primary Deliverables</w:t>
            </w:r>
          </w:p>
        </w:tc>
      </w:tr>
      <w:tr>
        <w:tc>
          <w:tcPr>
            <w:tcW w:type="dxa" w:w="259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Chief Medical Officer (CMO)</w:t>
            </w:r>
          </w:p>
        </w:tc>
        <w:tc>
          <w:tcPr>
            <w:tcW w:type="dxa" w:w="259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Clinical outcomes, patient safety, mortality reduction</w:t>
            </w:r>
          </w:p>
        </w:tc>
        <w:tc>
          <w:tcPr>
            <w:tcW w:type="dxa" w:w="201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Bi-weekly executive briefing</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Clinical validity summaries, risk distribution</w:t>
            </w:r>
          </w:p>
        </w:tc>
      </w:tr>
      <w:tr>
        <w:tc>
          <w:tcPr>
            <w:tcW w:type="dxa" w:w="259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Chief Financial Officer (CFO)</w:t>
            </w:r>
          </w:p>
        </w:tc>
        <w:tc>
          <w:tcPr>
            <w:tcW w:type="dxa" w:w="259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HRRP penalty mitigation, DRG reimbursement margins</w:t>
            </w:r>
          </w:p>
        </w:tc>
        <w:tc>
          <w:tcPr>
            <w:tcW w:type="dxa" w:w="201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Monthly financial audit</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Cost avoidance models, ROI projections</w:t>
            </w:r>
          </w:p>
        </w:tc>
      </w:tr>
      <w:tr>
        <w:tc>
          <w:tcPr>
            <w:tcW w:type="dxa" w:w="259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Nurse Unit Managers</w:t>
            </w:r>
          </w:p>
        </w:tc>
        <w:tc>
          <w:tcPr>
            <w:tcW w:type="dxa" w:w="259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Bed turnaround, staffing ratios, discharge workflows</w:t>
            </w:r>
          </w:p>
        </w:tc>
        <w:tc>
          <w:tcPr>
            <w:tcW w:type="dxa" w:w="201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Weekly operational standup</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Daily bed occupancy forecasts, discharge lists</w:t>
            </w:r>
          </w:p>
        </w:tc>
      </w:tr>
      <w:tr>
        <w:tc>
          <w:tcPr>
            <w:tcW w:type="dxa" w:w="259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Care Coordination / Social Work</w:t>
            </w:r>
          </w:p>
        </w:tc>
        <w:tc>
          <w:tcPr>
            <w:tcW w:type="dxa" w:w="259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Transitional care planning, post-discharge follow-up</w:t>
            </w:r>
          </w:p>
        </w:tc>
        <w:tc>
          <w:tcPr>
            <w:tcW w:type="dxa" w:w="201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Weekly clinical review</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High-risk readmission alert flags, SDOH reports</w:t>
            </w:r>
          </w:p>
        </w:tc>
      </w:tr>
      <w:tr>
        <w:tc>
          <w:tcPr>
            <w:tcW w:type="dxa" w:w="259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Hospital IT &amp; Data Governance</w:t>
            </w:r>
          </w:p>
        </w:tc>
        <w:tc>
          <w:tcPr>
            <w:tcW w:type="dxa" w:w="259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HIPAA compliance, PHI security, data pipelines</w:t>
            </w:r>
          </w:p>
        </w:tc>
        <w:tc>
          <w:tcPr>
            <w:tcW w:type="dxa" w:w="201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Ad-hoc / Sprint reviews</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De-identification audits, schema documentation</w:t>
            </w:r>
          </w:p>
        </w:tc>
      </w:tr>
    </w:tbl>
    <w:p>
      <w:pPr>
        <w:spacing w:after="120"/>
      </w:pPr>
    </w:p>
    <w:p>
      <w:pPr>
        <w:keepNext/>
        <w:spacing w:before="280" w:after="80"/>
      </w:pPr>
      <w:r>
        <w:rPr>
          <w:rFonts w:ascii="Times New Roman" w:hAnsi="Times New Roman"/>
          <w:b/>
          <w:color w:val="002060"/>
          <w:sz w:val="30"/>
        </w:rPr>
        <w:t>4. Technical Roadmap and Milestone Execution Schedule</w:t>
      </w:r>
    </w:p>
    <w:p>
      <w:pPr>
        <w:spacing w:line="276" w:lineRule="auto" w:after="120"/>
      </w:pPr>
      <w:r>
        <w:rPr>
          <w:rFonts w:ascii="Times New Roman" w:hAnsi="Times New Roman"/>
          <w:sz w:val="24"/>
        </w:rPr>
        <w:t>The project is structured across six consecutive operational phases spanning a dedicated 6-week development lifecycle. Each milestone delivers standalone analytical artifacts and code modules committed to version control: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Week</w:t>
            </w:r>
          </w:p>
        </w:tc>
        <w:tc>
          <w:tcPr>
            <w:tcW w:type="dxa" w:w="216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Milestone Phase</w:t>
            </w:r>
          </w:p>
        </w:tc>
        <w:tc>
          <w:tcPr>
            <w:tcW w:type="dxa" w:w="3888"/>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Core Technical Tasks &amp; Deliverables</w:t>
            </w:r>
          </w:p>
        </w:tc>
        <w:tc>
          <w:tcPr>
            <w:tcW w:type="dxa" w:w="216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Target Output</w:t>
            </w:r>
          </w:p>
        </w:tc>
      </w:tr>
      <w:tr>
        <w:tc>
          <w:tcPr>
            <w:tcW w:type="dxa" w:w="115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1</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Planning &amp; Strategy</w:t>
            </w:r>
          </w:p>
        </w:tc>
        <w:tc>
          <w:tcPr>
            <w:tcW w:type="dxa" w:w="388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Scope charter, KPI definition, stakeholder mapping, risk register</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Strategic Plan DOCX</w:t>
            </w:r>
          </w:p>
        </w:tc>
      </w:tr>
      <w:tr>
        <w:tc>
          <w:tcPr>
            <w:tcW w:type="dxa" w:w="115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2</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Data Acquisition &amp; QA</w:t>
            </w:r>
          </w:p>
        </w:tc>
        <w:tc>
          <w:tcPr>
            <w:tcW w:type="dxa" w:w="388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Multi-source ingestion, HIPAA de-identification, quality framework</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QA Protocol DOCX &amp; Dataset</w:t>
            </w:r>
          </w:p>
        </w:tc>
      </w:tr>
      <w:tr>
        <w:tc>
          <w:tcPr>
            <w:tcW w:type="dxa" w:w="115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3</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EDA &amp; Visualization</w:t>
            </w:r>
          </w:p>
        </w:tc>
        <w:tc>
          <w:tcPr>
            <w:tcW w:type="dxa" w:w="388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Metric calculation, bivariate analysis, wireframe dashboard design</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Visualization Plan DOCX</w:t>
            </w:r>
          </w:p>
        </w:tc>
      </w:tr>
      <w:tr>
        <w:tc>
          <w:tcPr>
            <w:tcW w:type="dxa" w:w="115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4</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Statistical &amp; Predictive ML</w:t>
            </w:r>
          </w:p>
        </w:tc>
        <w:tc>
          <w:tcPr>
            <w:tcW w:type="dxa" w:w="388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Feature engineering, cross-validation, LightGBM/XGBoost models</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Predictive Modeling DOCX</w:t>
            </w:r>
          </w:p>
        </w:tc>
      </w:tr>
      <w:tr>
        <w:tc>
          <w:tcPr>
            <w:tcW w:type="dxa" w:w="1152"/>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5</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Reporting &amp; Evidence Policy</w:t>
            </w:r>
          </w:p>
        </w:tc>
        <w:tc>
          <w:tcPr>
            <w:tcW w:type="dxa" w:w="3888"/>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Residual diagnosis, translational recommendations, HRRP analysis</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Evidence Report DOCX</w:t>
            </w:r>
          </w:p>
        </w:tc>
      </w:tr>
      <w:tr>
        <w:tc>
          <w:tcPr>
            <w:tcW w:type="dxa" w:w="1152"/>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Week 6</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Capstone &amp; Self-Assessment</w:t>
            </w:r>
          </w:p>
        </w:tc>
        <w:tc>
          <w:tcPr>
            <w:tcW w:type="dxa" w:w="3888"/>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Pipeline packaging, end-to-end integration, reflective growth audit</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Comprehensive Capstone DOCX</w:t>
            </w:r>
          </w:p>
        </w:tc>
      </w:tr>
    </w:tbl>
    <w:p>
      <w:pPr>
        <w:spacing w:after="120"/>
      </w:pPr>
    </w:p>
    <w:p>
      <w:pPr>
        <w:keepNext/>
        <w:spacing w:before="280" w:after="80"/>
      </w:pPr>
      <w:r>
        <w:rPr>
          <w:rFonts w:ascii="Times New Roman" w:hAnsi="Times New Roman"/>
          <w:b/>
          <w:color w:val="002060"/>
          <w:sz w:val="30"/>
        </w:rPr>
        <w:t>5. Risk Management and Contingency Planning</w:t>
      </w:r>
    </w:p>
    <w:p>
      <w:pPr>
        <w:spacing w:line="276" w:lineRule="auto" w:after="120"/>
      </w:pPr>
      <w:r>
        <w:rPr>
          <w:rFonts w:ascii="Times New Roman" w:hAnsi="Times New Roman"/>
          <w:sz w:val="24"/>
        </w:rPr>
        <w:t>Healthcare data analytics projects face unique regulatory, technical, and operational challenges. A structured risk register provides preemptive mitigation strategies: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Identified Risk Event</w:t>
            </w:r>
          </w:p>
        </w:tc>
        <w:tc>
          <w:tcPr>
            <w:tcW w:type="dxa" w:w="1584"/>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Severity / Likelihood</w:t>
            </w:r>
          </w:p>
        </w:tc>
        <w:tc>
          <w:tcPr>
            <w:tcW w:type="dxa" w:w="2160"/>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Operational Impact</w:t>
            </w:r>
          </w:p>
        </w:tc>
        <w:tc>
          <w:tcPr>
            <w:tcW w:type="dxa" w:w="3456"/>
            <w:shd w:fill="D9E1F2"/>
            <w:tcBorders>
              <w:top w:val="single" w:sz="6" w:space="0" w:color="203764"/>
              <w:left w:val="none" w:sz="6" w:space="0" w:color="203764"/>
              <w:bottom w:val="double" w:sz="6" w:space="0" w:color="203764"/>
              <w:right w:val="none" w:sz="6" w:space="0" w:color="203764"/>
            </w:tcBorders>
            <w:tcMar>
              <w:top w:w="120" w:type="dxa"/>
              <w:bottom w:w="120" w:type="dxa"/>
              <w:left w:w="150" w:type="dxa"/>
              <w:right w:w="150" w:type="dxa"/>
            </w:tcMar>
          </w:tcPr>
          <w:p>
            <w:pPr>
              <w:jc w:val="center"/>
            </w:pPr>
            <w:r>
              <w:rPr>
                <w:rFonts w:ascii="Times New Roman" w:hAnsi="Times New Roman"/>
                <w:b/>
                <w:color w:val="000000"/>
                <w:sz w:val="22"/>
              </w:rPr>
              <w:t>Preemptive Mitigation Strategy</w:t>
            </w:r>
          </w:p>
        </w:tc>
      </w:tr>
      <w:tr>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Data Privacy / HIPAA Violation</w:t>
            </w:r>
          </w:p>
        </w:tc>
        <w:tc>
          <w:tcPr>
            <w:tcW w:type="dxa" w:w="1584"/>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Critical / Low</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Regulatory fines, legal liability</w:t>
            </w:r>
          </w:p>
        </w:tc>
        <w:tc>
          <w:tcPr>
            <w:tcW w:type="dxa" w:w="345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Mandatory Safe Harbor de-identification, role-based access control, hashed patient IDs</w:t>
            </w:r>
          </w:p>
        </w:tc>
      </w:tr>
      <w:tr>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High Missingness in Vital Signs</w:t>
            </w:r>
          </w:p>
        </w:tc>
        <w:tc>
          <w:tcPr>
            <w:tcW w:type="dxa" w:w="1584"/>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High / Medium</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Biased risk predictions</w:t>
            </w:r>
          </w:p>
        </w:tc>
        <w:tc>
          <w:tcPr>
            <w:tcW w:type="dxa" w:w="345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MICE multiple imputation, missingness indicator flags, sensor validation filters</w:t>
            </w:r>
          </w:p>
        </w:tc>
      </w:tr>
      <w:tr>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Clinical Data Leakage</w:t>
            </w:r>
          </w:p>
        </w:tc>
        <w:tc>
          <w:tcPr>
            <w:tcW w:type="dxa" w:w="1584"/>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High / High</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Over-optimistic model metrics</w:t>
            </w:r>
          </w:p>
        </w:tc>
        <w:tc>
          <w:tcPr>
            <w:tcW w:type="dxa" w:w="345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Patient-level group cross-validation; strict exclusion of post-discharge variables</w:t>
            </w:r>
          </w:p>
        </w:tc>
      </w:tr>
      <w:tr>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Clinical Skepticism / Disuse</w:t>
            </w:r>
          </w:p>
        </w:tc>
        <w:tc>
          <w:tcPr>
            <w:tcW w:type="dxa" w:w="1584"/>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Medium / High</w:t>
            </w:r>
          </w:p>
        </w:tc>
        <w:tc>
          <w:tcPr>
            <w:tcW w:type="dxa" w:w="2160"/>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Failed bedside adoption</w:t>
            </w:r>
          </w:p>
        </w:tc>
        <w:tc>
          <w:tcPr>
            <w:tcW w:type="dxa" w:w="3456"/>
            <w:shd w:fill="F2F2F2"/>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Incorporate SHAP explainability plots, physician co-design, interpretable scorecards</w:t>
            </w:r>
          </w:p>
        </w:tc>
      </w:tr>
      <w:tr>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Class Imbalance (Readmission ~15-20%)</w:t>
            </w:r>
          </w:p>
        </w:tc>
        <w:tc>
          <w:tcPr>
            <w:tcW w:type="dxa" w:w="1584"/>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Medium / High</w:t>
            </w:r>
          </w:p>
        </w:tc>
        <w:tc>
          <w:tcPr>
            <w:tcW w:type="dxa" w:w="2160"/>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Poor recall on readmitted cohort</w:t>
            </w:r>
          </w:p>
        </w:tc>
        <w:tc>
          <w:tcPr>
            <w:tcW w:type="dxa" w:w="3456"/>
            <w:shd w:fill="FFFFFF"/>
            <w:tcBorders>
              <w:top w:val="single" w:sz="4" w:space="0" w:color="CCCCCC"/>
              <w:left w:val="none" w:sz="4" w:space="0" w:color="CCCCCC"/>
              <w:bottom w:val="single" w:sz="4" w:space="0" w:color="CCCCCC"/>
              <w:right w:val="none" w:sz="4" w:space="0" w:color="CCCCCC"/>
            </w:tcBorders>
            <w:tcMar>
              <w:top w:w="80" w:type="dxa"/>
              <w:bottom w:w="80" w:type="dxa"/>
              <w:left w:w="150" w:type="dxa"/>
              <w:right w:w="150" w:type="dxa"/>
            </w:tcMar>
          </w:tcPr>
          <w:p>
            <w:r>
              <w:rPr>
                <w:rFonts w:ascii="Times New Roman" w:hAnsi="Times New Roman"/>
                <w:sz w:val="21"/>
              </w:rPr>
              <w:t>PR-AUC optimization, focal loss, decision threshold tuning based on cost-matrix</w:t>
            </w:r>
          </w:p>
        </w:tc>
      </w:tr>
    </w:tbl>
    <w:p>
      <w:pPr>
        <w:spacing w:after="120"/>
      </w:pPr>
    </w:p>
    <w:p>
      <w:pPr>
        <w:keepNext/>
        <w:spacing w:before="280" w:after="80"/>
      </w:pPr>
      <w:r>
        <w:rPr>
          <w:rFonts w:ascii="Times New Roman" w:hAnsi="Times New Roman"/>
          <w:b/>
          <w:color w:val="002060"/>
          <w:sz w:val="30"/>
        </w:rPr>
        <w:t>6. Strategic Conclusion and Phase Gate Criteria</w:t>
      </w:r>
    </w:p>
    <w:p>
      <w:pPr>
        <w:spacing w:line="276" w:lineRule="auto" w:after="120"/>
      </w:pPr>
      <w:r>
        <w:rPr>
          <w:rFonts w:ascii="Times New Roman" w:hAnsi="Times New Roman"/>
          <w:sz w:val="24"/>
        </w:rPr>
        <w:t>The establishment of this strategic charter and analytical roadmap marks the successful completion of the planning phase. By formally anchoring the clinical problem definition in CMS HRRP regulatory standards and quantifiable patient outcome metrics, the project ensures that subsequent technical activities remain tightly aligned with enterprise clinical and financial priorities. The roadmap defines clear phase-gate approval criteria: moving to data acquisition requires documented HIPAA compliance sign-off, access verification for de-identified EHR data partitions, and stakeholder consensus on target DRG categories. In Week 2, the project will transition into active data engineering, implementing the automated ingestion pipeline, establishing Kahn quality validation thresholds, and preparing the 10,000-encounter cohort for exploratory risk analysis.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8"/>
      </w:rPr>
      <w:t>Healthcare Data Analytics Capstone | Confidential Clinical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