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Times New Roman" w:hAnsi="Times New Roman"/>
          <w:b/>
          <w:color w:val="000000"/>
          <w:sz w:val="28"/>
        </w:rPr>
        <w:t>INTERNSHIP DELIVERABLE — WEEK 1</w:t>
      </w:r>
    </w:p>
    <w:p>
      <w:pPr>
        <w:keepNext/>
        <w:spacing w:before="40" w:after="80"/>
      </w:pPr>
      <w:r>
        <w:rPr>
          <w:rFonts w:ascii="Times New Roman" w:hAnsi="Times New Roman"/>
          <w:b/>
          <w:color w:val="000000"/>
          <w:sz w:val="40"/>
        </w:rPr>
        <w:t>Strategic Planning and Data Problem Definition in Healthcare Analytics</w:t>
      </w:r>
    </w:p>
    <w:p>
      <w:pPr>
        <w:keepNext/>
        <w:spacing w:after="120"/>
      </w:pPr>
      <w:r>
        <w:rPr>
          <w:rFonts w:ascii="Times New Roman" w:hAnsi="Times New Roman"/>
          <w:i/>
          <w:color w:val="000000"/>
          <w:sz w:val="26"/>
        </w:rPr>
        <w:t>Foundational Enterprise Blueprint for Clinical Risk Stratification and Regulatory Compliance</w:t>
      </w:r>
    </w:p>
    <w:tbl>
      <w:tblPr>
        <w:tblW w:type="auto" w:w="0"/>
        <w:jc w:val="center"/>
        <w:tblLook w:firstColumn="1" w:firstRow="1" w:lastColumn="0" w:lastRow="0" w:noHBand="0" w:noVBand="1" w:val="04A0"/>
      </w:tblPr>
      <w:tblGrid>
        <w:gridCol w:w="4896"/>
        <w:gridCol w:w="4896"/>
      </w:tblGrid>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Intern / Author: </w:t>
            </w:r>
            <w:r>
              <w:rPr>
                <w:rFonts w:ascii="Times New Roman" w:hAnsi="Times New Roman"/>
                <w:b/>
                <w:color w:val="000000"/>
                <w:sz w:val="26"/>
              </w:rPr>
              <w:t>Ankit Kumar</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Target Role: </w:t>
            </w:r>
            <w:r>
              <w:rPr>
                <w:rFonts w:ascii="Times New Roman" w:hAnsi="Times New Roman"/>
                <w:color w:val="000000"/>
                <w:sz w:val="26"/>
              </w:rPr>
              <w:t>Healthcare Data Analyst Intern</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Track: </w:t>
            </w:r>
            <w:r>
              <w:rPr>
                <w:rFonts w:ascii="Times New Roman" w:hAnsi="Times New Roman"/>
                <w:color w:val="000000"/>
                <w:sz w:val="26"/>
              </w:rPr>
              <w:t>Clinical Quality &amp; Operational Analytics</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Deliverable ID: </w:t>
            </w:r>
            <w:r>
              <w:rPr>
                <w:rFonts w:ascii="Times New Roman" w:hAnsi="Times New Roman"/>
                <w:color w:val="000000"/>
                <w:sz w:val="26"/>
              </w:rPr>
              <w:t>Week 1 Strategic Blueprint (W1)</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Core Focus: </w:t>
            </w:r>
            <w:r>
              <w:rPr>
                <w:rFonts w:ascii="Times New Roman" w:hAnsi="Times New Roman"/>
                <w:color w:val="000000"/>
                <w:sz w:val="26"/>
              </w:rPr>
              <w:t>CMS HRRP, Readmission Risk, ALOS Optimization</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Estimated Project Scope: </w:t>
            </w:r>
            <w:r>
              <w:rPr>
                <w:rFonts w:ascii="Times New Roman" w:hAnsi="Times New Roman"/>
                <w:color w:val="000000"/>
                <w:sz w:val="26"/>
              </w:rPr>
              <w:t>30 to 35 Hours Technical Architecture</w:t>
            </w:r>
          </w:p>
        </w:tc>
      </w:tr>
    </w:tbl>
    <w:p>
      <w:pPr>
        <w:spacing w:after="120"/>
      </w:pPr>
    </w:p>
    <w:p>
      <w:pPr>
        <w:keepNext/>
        <w:widowControl/>
        <w:spacing w:before="320" w:after="100"/>
      </w:pPr>
      <w:r>
        <w:rPr>
          <w:rFonts w:ascii="Times New Roman" w:hAnsi="Times New Roman"/>
          <w:b/>
          <w:color w:val="000000"/>
          <w:sz w:val="36"/>
        </w:rPr>
        <w:t>1. Executive Summary &amp; Clinical Industry Context</w:t>
      </w:r>
    </w:p>
    <w:p>
      <w:pPr>
        <w:widowControl/>
        <w:spacing w:before="0" w:after="100" w:line="276" w:lineRule="auto"/>
      </w:pPr>
      <w:r>
        <w:rPr>
          <w:rFonts w:ascii="Times New Roman" w:hAnsi="Times New Roman"/>
          <w:color w:val="000000"/>
          <w:sz w:val="24"/>
        </w:rPr>
        <w:t>Modern healthcare delivery systems operate within an environment of immense financial pressure, shifting regulatory requirements, and growing clinical complexity. Across acute-care hospitals in the United States and globally, unplanned 30-day patient readmissions and excessive inpatient length of stay (ALOS) represent severe systemic delivery failures costing over $26 billion annually, with $17 billion deemed clinically preventable. Under the CMS Hospital Readmissions Reduction Program (HRRP), acute-care facilities face regulatory reimbursement penalties of up to 3.0% on base Medicare DRG payments if readmission rates exceed national benchmarks. This strategic charter establishes the technical problem formulation, enterprise scope, governance framework, and analytical roadmap across five chronic illness cohorts (Heart Failure, AMI, Type 2 Diabetes, Pneumonia, and Sepsis) to decrease preventable readmissions by 18%, reduce average length of stay by 0.6 days, and avert regulatory penalties.</w:t>
      </w:r>
    </w:p>
    <w:tbl>
      <w:tblPr>
        <w:tblW w:type="auto" w:w="0"/>
        <w:jc w:val="center"/>
        <w:tblLook w:firstColumn="1" w:firstRow="1" w:lastColumn="0" w:lastRow="0" w:noHBand="0" w:noVBand="1" w:val="04A0"/>
      </w:tblPr>
      <w:tblGrid>
        <w:gridCol w:w="9792"/>
      </w:tblGrid>
      <w:tr>
        <w:trPr>
          <w:cantSplit/>
        </w:trPr>
        <w:tc>
          <w:tcPr>
            <w:tcW w:type="dxa" w:w="9792"/>
            <w:shd w:fill="FFFFFF"/>
            <w:tcMar>
              <w:top w:w="140" w:type="dxa"/>
              <w:bottom w:w="140" w:type="dxa"/>
              <w:left w:w="180" w:type="dxa"/>
              <w:right w:w="180" w:type="dxa"/>
            </w:tcMar>
            <w:tcBorders>
              <w:top w:val="single" w:sz="6" w:space="0" w:color="000000"/>
              <w:left w:val="single" w:sz="36"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5"/>
              </w:rPr>
              <w:t>EXECUTIVE STRATEGIC PRINCIPLE</w:t>
              <w:br/>
            </w:r>
            <w:r>
              <w:rPr>
                <w:rFonts w:ascii="Times New Roman" w:hAnsi="Times New Roman"/>
                <w:color w:val="000000"/>
                <w:sz w:val="24"/>
              </w:rPr>
              <w:t>Clinical analytics initiatives succeed only when data science metrics tie directly to clinical workflows and reimbursement thresholds. Predicting readmission probability with an AUROC exceeding 0.82 allows care management teams to allocate dedicated post-discharge transitional resources to the top 20% highest-risk patients, preventing costly decompensations while protecting hospital margins against CMS HRRP penalties.</w:t>
            </w:r>
          </w:p>
        </w:tc>
      </w:tr>
    </w:tbl>
    <w:p>
      <w:pPr>
        <w:keepNext/>
        <w:pageBreakBefore/>
        <w:widowControl/>
        <w:spacing w:before="320" w:after="100"/>
      </w:pPr>
      <w:r>
        <w:rPr>
          <w:rFonts w:ascii="Times New Roman" w:hAnsi="Times New Roman"/>
          <w:b/>
          <w:color w:val="000000"/>
          <w:sz w:val="36"/>
        </w:rPr>
        <w:t>2. Core Healthcare Business &amp; Clinical Problem Statements</w:t>
      </w:r>
    </w:p>
    <w:p>
      <w:pPr>
        <w:keepNext/>
        <w:widowControl/>
        <w:spacing w:before="0" w:after="100" w:line="276" w:lineRule="auto"/>
      </w:pPr>
      <w:r>
        <w:rPr>
          <w:rFonts w:ascii="Times New Roman" w:hAnsi="Times New Roman"/>
          <w:color w:val="000000"/>
          <w:sz w:val="24"/>
        </w:rPr>
        <w:t>To achieve tangible clinical impact and sustained operational adoption, analytical pipelines must target specific clinical bottlenecks where traditional heuristic protocols fail. This project addresses three interconnected core healthcare operational challenges.</w:t>
      </w:r>
    </w:p>
    <w:p>
      <w:pPr>
        <w:keepNext/>
        <w:widowControl/>
        <w:spacing w:before="240" w:after="80"/>
      </w:pPr>
      <w:r>
        <w:rPr>
          <w:rFonts w:ascii="Times New Roman" w:hAnsi="Times New Roman"/>
          <w:b/>
          <w:color w:val="000000"/>
          <w:sz w:val="32"/>
        </w:rPr>
        <w:t>2.1 Problem 1: Inpatient 30-Day Unplanned Readmission Risk Stratification</w:t>
      </w:r>
    </w:p>
    <w:p>
      <w:pPr>
        <w:keepNext/>
        <w:widowControl/>
        <w:spacing w:before="0" w:after="100" w:line="276" w:lineRule="auto"/>
      </w:pPr>
      <w:r>
        <w:rPr>
          <w:rFonts w:ascii="Times New Roman" w:hAnsi="Times New Roman"/>
          <w:color w:val="000000"/>
          <w:sz w:val="24"/>
        </w:rPr>
        <w:t>Clinical Context: Unplanned 30-day readmissions are widely monitored as indicators of care fragmentation, incomplete in-hospital recovery, and inadequate post-discharge coordination. Clinical staff currently rely on informal bedside judgments or simple clinical heuristics that fail to capture complex non-linear interactions across multiorgan comorbidities, lab biomarker trends, and polypharmacy regimens.</w:t>
      </w:r>
    </w:p>
    <w:p>
      <w:pPr>
        <w:pStyle w:val="ListBullet"/>
        <w:keepNext/>
        <w:spacing w:after="60" w:line="276" w:lineRule="auto"/>
      </w:pPr>
      <w:r>
        <w:rPr>
          <w:rFonts w:ascii="Times New Roman" w:hAnsi="Times New Roman"/>
          <w:b/>
          <w:color w:val="000000"/>
          <w:sz w:val="24"/>
        </w:rPr>
        <w:t xml:space="preserve">Technical Machine Learning Problem: </w:t>
      </w:r>
      <w:r>
        <w:rPr>
          <w:rFonts w:ascii="Times New Roman" w:hAnsi="Times New Roman"/>
          <w:color w:val="000000"/>
          <w:sz w:val="24"/>
        </w:rPr>
        <w:t>Formulate a supervised binary classification pipeline predicting the probability of an unplanned acute inpatient readmission within 30 calendar days of discharge. The feature vector synthesizes demographic data, Charlson Comorbidity Index factors, longitudinal laboratory trajectories (HbA1c, serum creatinine), vital signs, and discharge disposition codes across 10,000 inpatient encounters.</w:t>
      </w:r>
    </w:p>
    <w:p>
      <w:pPr>
        <w:pStyle w:val="ListBullet"/>
        <w:keepNext/>
        <w:spacing w:after="60" w:line="276" w:lineRule="auto"/>
      </w:pPr>
      <w:r>
        <w:rPr>
          <w:rFonts w:ascii="Times New Roman" w:hAnsi="Times New Roman"/>
          <w:b/>
          <w:color w:val="000000"/>
          <w:sz w:val="24"/>
        </w:rPr>
        <w:t xml:space="preserve">Target Clinical &amp; Technical KPIs: </w:t>
      </w:r>
      <w:r>
        <w:rPr>
          <w:rFonts w:ascii="Times New Roman" w:hAnsi="Times New Roman"/>
          <w:color w:val="000000"/>
          <w:sz w:val="24"/>
        </w:rPr>
        <w:t>Achieve an Area Under the Receiver Operating Characteristic Curve (AUROC) &gt;= 0.82; Area Under the Precision-Recall Curve (AUPRC) &gt;= 0.52; Sensitivity (Recall) &gt;= 78% on high-risk patients; target an 18% relative reduction in overall 30-day readmission rates within 6 months of pilot deployment.</w:t>
      </w:r>
    </w:p>
    <w:p>
      <w:pPr>
        <w:keepNext/>
        <w:spacing w:before="200" w:after="60"/>
      </w:pPr>
      <w:r>
        <w:rPr>
          <w:rFonts w:ascii="Times New Roman" w:hAnsi="Times New Roman"/>
          <w:b/>
          <w:color w:val="000000"/>
          <w:sz w:val="28"/>
        </w:rPr>
        <w:t>Clinical Problem Prioritization &amp; Implementation Matrix</w:t>
      </w:r>
    </w:p>
    <w:tbl>
      <w:tblPr>
        <w:tblW w:type="auto" w:w="0"/>
        <w:jc w:val="center"/>
        <w:tblLook w:firstColumn="1" w:firstRow="1" w:lastColumn="0" w:lastRow="0" w:noHBand="0" w:noVBand="1" w:val="04A0"/>
      </w:tblPr>
      <w:tblGrid>
        <w:gridCol w:w="1958"/>
        <w:gridCol w:w="1958"/>
        <w:gridCol w:w="1958"/>
        <w:gridCol w:w="1958"/>
        <w:gridCol w:w="1958"/>
      </w:tblGrid>
      <w:tr>
        <w:trPr>
          <w:tblHeader/>
          <w:cantSplit/>
        </w:trPr>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Problem Statement</w:t>
            </w:r>
          </w:p>
        </w:tc>
        <w:tc>
          <w:tcPr>
            <w:tcW w:type="dxa" w:w="201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Primary Clinical Sponsor</w:t>
            </w:r>
          </w:p>
        </w:tc>
        <w:tc>
          <w:tcPr>
            <w:tcW w:type="dxa" w:w="201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Core Analytical Task</w:t>
            </w:r>
          </w:p>
        </w:tc>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Key EHR Data Assets</w:t>
            </w:r>
          </w:p>
        </w:tc>
        <w:tc>
          <w:tcPr>
            <w:tcW w:type="dxa" w:w="1728"/>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Operational Horizon</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30-Day Readmission Risk</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Chief Medical Officer</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Binary Classification (XGBoost)</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EHR, LIS Lab Biomarkers, RxNorm</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Pre-Discharge (24-48h)</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Length of Stay Variance</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Director of Hospital Operations</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Log-Linear Regression</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ADT Encounters, Comorbidities, ICD-10</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Admission Day 1</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Bed Occupancy Forecasting</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Nurse Unit Leadership</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Multivariate Time-Series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Historical Census, ED Inflow, Calendars</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Forward 1-7 Days</w:t>
            </w:r>
          </w:p>
        </w:tc>
      </w:tr>
    </w:tbl>
    <w:p>
      <w:pPr>
        <w:keepNext/>
        <w:pageBreakBefore/>
        <w:widowControl/>
        <w:spacing w:before="240" w:after="80"/>
      </w:pPr>
      <w:r>
        <w:rPr>
          <w:rFonts w:ascii="Times New Roman" w:hAnsi="Times New Roman"/>
          <w:b/>
          <w:color w:val="000000"/>
          <w:sz w:val="32"/>
        </w:rPr>
        <w:t>2.2 Problem 2: Inpatient Length of Stay (ALOS) Variance &amp; Discharge Delays</w:t>
      </w:r>
    </w:p>
    <w:p>
      <w:pPr>
        <w:keepNext/>
        <w:widowControl/>
        <w:spacing w:before="0" w:after="100" w:line="276" w:lineRule="auto"/>
      </w:pPr>
      <w:r>
        <w:rPr>
          <w:rFonts w:ascii="Times New Roman" w:hAnsi="Times New Roman"/>
          <w:color w:val="000000"/>
          <w:sz w:val="24"/>
        </w:rPr>
        <w:t>Clinical Context: Extended length of stay increases patient vulnerability to hospital-acquired infections, catheter-associated urinary tract infections, and functional physical deconditioning. Operationally, unexpected delays in discharge create cascading blockages in the emergency department, driving up boarding times and forcing bed divert protocols.</w:t>
      </w:r>
    </w:p>
    <w:p>
      <w:pPr>
        <w:pStyle w:val="ListBullet"/>
        <w:keepNext/>
        <w:spacing w:after="60" w:line="276" w:lineRule="auto"/>
      </w:pPr>
      <w:r>
        <w:rPr>
          <w:rFonts w:ascii="Times New Roman" w:hAnsi="Times New Roman"/>
          <w:b/>
          <w:color w:val="000000"/>
          <w:sz w:val="24"/>
        </w:rPr>
        <w:t xml:space="preserve">Technical Machine Learning Problem: </w:t>
      </w:r>
      <w:r>
        <w:rPr>
          <w:rFonts w:ascii="Times New Roman" w:hAnsi="Times New Roman"/>
          <w:color w:val="000000"/>
          <w:sz w:val="24"/>
        </w:rPr>
        <w:t>Develop an early-admission regression and risk-deviation model to predict total inpatient length of stay (days) and flag encounters exceeding arithmetic geometric mean length of stay (GMLOS) by more than 2.0 standard deviations. Features include admission severity, emergency versus elective pathways, baseline organ dysfunction, and procedural complexity.</w:t>
      </w:r>
    </w:p>
    <w:p>
      <w:pPr>
        <w:pStyle w:val="ListBullet"/>
        <w:keepNext/>
        <w:spacing w:after="60" w:line="276" w:lineRule="auto"/>
      </w:pPr>
      <w:r>
        <w:rPr>
          <w:rFonts w:ascii="Times New Roman" w:hAnsi="Times New Roman"/>
          <w:b/>
          <w:color w:val="000000"/>
          <w:sz w:val="24"/>
        </w:rPr>
        <w:t xml:space="preserve">Target Operational &amp; Technical KPIs: </w:t>
      </w:r>
      <w:r>
        <w:rPr>
          <w:rFonts w:ascii="Times New Roman" w:hAnsi="Times New Roman"/>
          <w:color w:val="000000"/>
          <w:sz w:val="24"/>
        </w:rPr>
        <w:t>Root Mean Squared Error (RMSE) &lt; 1.45 days; Mean Absolute Error (MAE) &lt; 0.95 days; achieve an overall average length of stay reduction of 0.6 days across target chronic cohorts, translating to approximately 6,000 preserved inpatient bed-days annually.</w:t>
      </w:r>
    </w:p>
    <w:p>
      <w:pPr>
        <w:keepNext/>
        <w:widowControl/>
        <w:spacing w:before="240" w:after="80"/>
      </w:pPr>
      <w:r>
        <w:rPr>
          <w:rFonts w:ascii="Times New Roman" w:hAnsi="Times New Roman"/>
          <w:b/>
          <w:color w:val="000000"/>
          <w:sz w:val="32"/>
        </w:rPr>
        <w:t>2.3 Problem 3: Inpatient Bed Occupancy, Ward Capacity, and Staffing Allocation</w:t>
      </w:r>
    </w:p>
    <w:p>
      <w:pPr>
        <w:keepNext/>
        <w:widowControl/>
        <w:spacing w:before="0" w:after="100" w:line="276" w:lineRule="auto"/>
      </w:pPr>
      <w:r>
        <w:rPr>
          <w:rFonts w:ascii="Times New Roman" w:hAnsi="Times New Roman"/>
          <w:color w:val="000000"/>
          <w:sz w:val="24"/>
        </w:rPr>
        <w:t>Clinical Context: Nursing unit managers face continuous volatility in acute-care bed availability. Fluctuations between peak winter respiratory disease admissions and routine elective surgical procedures result in frequent imbalances between patient acuity and nurse-to-patient staffing ratios.</w:t>
      </w:r>
    </w:p>
    <w:p>
      <w:pPr>
        <w:pStyle w:val="ListBullet"/>
        <w:keepNext/>
        <w:spacing w:after="60" w:line="276" w:lineRule="auto"/>
      </w:pPr>
      <w:r>
        <w:rPr>
          <w:rFonts w:ascii="Times New Roman" w:hAnsi="Times New Roman"/>
          <w:b/>
          <w:color w:val="000000"/>
          <w:sz w:val="24"/>
        </w:rPr>
        <w:t xml:space="preserve">Technical Machine Learning Problem: </w:t>
      </w:r>
      <w:r>
        <w:rPr>
          <w:rFonts w:ascii="Times New Roman" w:hAnsi="Times New Roman"/>
          <w:color w:val="000000"/>
          <w:sz w:val="24"/>
        </w:rPr>
        <w:t>Structure a multi-step time-series forecasting model predicting ward-level bed occupancy rates, daily admissions, and expected discharge counts across 1-day to 7-day forward horizons. Covariates integrate seasonal weather indicators, holiday schedules, local infectious disease surveillance metrics, and scheduled elective admissions.</w:t>
      </w:r>
    </w:p>
    <w:p>
      <w:pPr>
        <w:pStyle w:val="ListBullet"/>
        <w:keepNext/>
        <w:spacing w:after="60" w:line="276" w:lineRule="auto"/>
      </w:pPr>
      <w:r>
        <w:rPr>
          <w:rFonts w:ascii="Times New Roman" w:hAnsi="Times New Roman"/>
          <w:b/>
          <w:color w:val="000000"/>
          <w:sz w:val="24"/>
        </w:rPr>
        <w:t xml:space="preserve">Target Operational &amp; Technical KPIs: </w:t>
      </w:r>
      <w:r>
        <w:rPr>
          <w:rFonts w:ascii="Times New Roman" w:hAnsi="Times New Roman"/>
          <w:color w:val="000000"/>
          <w:sz w:val="24"/>
        </w:rPr>
        <w:t>Mean Absolute Percentage Error (MAPE) &lt; 5.8% for 48-hour forward bed census predictions; maintain acute-care bed occupancy within the safe operating corridor of 82% to 86%, reducing emergency boarding times by 25%.</w:t>
      </w:r>
    </w:p>
    <w:tbl>
      <w:tblPr>
        <w:tblW w:type="auto" w:w="0"/>
        <w:jc w:val="center"/>
        <w:tblLook w:firstColumn="1" w:firstRow="1" w:lastColumn="0" w:lastRow="0" w:noHBand="0" w:noVBand="1" w:val="04A0"/>
      </w:tblPr>
      <w:tblGrid>
        <w:gridCol w:w="9792"/>
      </w:tblGrid>
      <w:tr>
        <w:trPr>
          <w:cantSplit/>
        </w:trPr>
        <w:tc>
          <w:tcPr>
            <w:tcW w:type="dxa" w:w="9792"/>
            <w:shd w:fill="FFFFFF"/>
            <w:tcMar>
              <w:top w:w="140" w:type="dxa"/>
              <w:bottom w:w="140" w:type="dxa"/>
              <w:left w:w="180" w:type="dxa"/>
              <w:right w:w="180" w:type="dxa"/>
            </w:tcMar>
            <w:tcBorders>
              <w:top w:val="single" w:sz="6" w:space="0" w:color="000000"/>
              <w:left w:val="single" w:sz="36"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5"/>
              </w:rPr>
              <w:t>CLINICAL ADOPTION DIRECTIVE</w:t>
              <w:br/>
            </w:r>
            <w:r>
              <w:rPr>
                <w:rFonts w:ascii="Times New Roman" w:hAnsi="Times New Roman"/>
                <w:color w:val="000000"/>
                <w:sz w:val="24"/>
              </w:rPr>
              <w:t>Clinical algorithms must never operate as opaque black boxes. Clinical buy-in requires explainable risk scoring: every high-risk flag sent to a care manager must display top local risk drivers (e.g., polypharmacy count, abnormal creatinine, recent acute admission) to enable targeted clinical interventions.</w:t>
            </w:r>
          </w:p>
        </w:tc>
      </w:tr>
    </w:tbl>
    <w:p>
      <w:pPr>
        <w:keepNext/>
        <w:pageBreakBefore/>
        <w:widowControl/>
        <w:spacing w:before="320" w:after="100"/>
      </w:pPr>
      <w:r>
        <w:rPr>
          <w:rFonts w:ascii="Times New Roman" w:hAnsi="Times New Roman"/>
          <w:b/>
          <w:color w:val="000000"/>
          <w:sz w:val="36"/>
        </w:rPr>
        <w:t>3. Stakeholder Ecosystem &amp; Governance Framework</w:t>
      </w:r>
    </w:p>
    <w:p>
      <w:pPr>
        <w:keepNext/>
        <w:widowControl/>
        <w:spacing w:before="0" w:after="100" w:line="276" w:lineRule="auto"/>
      </w:pPr>
      <w:r>
        <w:rPr>
          <w:rFonts w:ascii="Times New Roman" w:hAnsi="Times New Roman"/>
          <w:color w:val="000000"/>
          <w:sz w:val="24"/>
        </w:rPr>
        <w:t>Healthcare analytics systems require cross-functional collaboration among clinical, administrative, technical, and regulatory stakeholders. Clinical models that lack physician buy-in face immediate rejection, while models deployed without executive alignment fail to receive operational resources.</w:t>
      </w:r>
    </w:p>
    <w:tbl>
      <w:tblPr>
        <w:tblW w:type="auto" w:w="0"/>
        <w:jc w:val="center"/>
        <w:tblLook w:firstColumn="1" w:firstRow="1" w:lastColumn="0" w:lastRow="0" w:noHBand="0" w:noVBand="1" w:val="04A0"/>
      </w:tblPr>
      <w:tblGrid>
        <w:gridCol w:w="2448"/>
        <w:gridCol w:w="2448"/>
        <w:gridCol w:w="2448"/>
        <w:gridCol w:w="2448"/>
      </w:tblGrid>
      <w:tr>
        <w:trPr>
          <w:tblHeader/>
          <w:cantSplit/>
        </w:trPr>
        <w:tc>
          <w:tcPr>
            <w:tcW w:type="dxa" w:w="230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Stakeholder Group</w:t>
            </w:r>
          </w:p>
        </w:tc>
        <w:tc>
          <w:tcPr>
            <w:tcW w:type="dxa" w:w="288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Key Clinical &amp; Operational Focus</w:t>
            </w:r>
          </w:p>
        </w:tc>
        <w:tc>
          <w:tcPr>
            <w:tcW w:type="dxa" w:w="187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Engagement Cadence</w:t>
            </w:r>
          </w:p>
        </w:tc>
        <w:tc>
          <w:tcPr>
            <w:tcW w:type="dxa" w:w="273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Primary Deliverable Artifacts</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Chief Medical Officer (CMO)</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Patient safety, risk-standardized mortality, clinical quality benchmarks</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Bi-weekly briefings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Executive clinical outcome summaries, risk distribution profiles</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Chief Financial Officer (CFO)</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CMS HRRP penalty mitigation, DRG reimbursement, margin protection</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Monthly reviews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Financial penalty avoidance models, operational ROI projections</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Nurse Unit Managers</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Bed turnaround efficiency, shift staffing ratios, discharge barriers</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Weekly standups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Ward-level bed census forecasts, prioritized discharge lists</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Care Transition / Social Work</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Post-acute transitional planning, medication reconciliation, SDOH support</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Weekly reviews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High-risk readmission alert queues, transitional care worklists</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Hospital IT &amp; Governance</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HIPAA compliance, PHI de-identification, EHR integration protocols</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Sprint cadences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Data dictionary, de-identification verification audits, API specs</w:t>
            </w:r>
          </w:p>
        </w:tc>
      </w:tr>
    </w:tbl>
    <w:p>
      <w:pPr>
        <w:keepNext/>
        <w:widowControl/>
        <w:spacing w:before="240" w:after="80"/>
      </w:pPr>
      <w:r>
        <w:rPr>
          <w:rFonts w:ascii="Times New Roman" w:hAnsi="Times New Roman"/>
          <w:b/>
          <w:color w:val="000000"/>
          <w:sz w:val="32"/>
        </w:rPr>
        <w:t>3.2 RACI Governance Matrix</w:t>
      </w:r>
    </w:p>
    <w:p>
      <w:pPr>
        <w:keepNext/>
        <w:widowControl/>
        <w:spacing w:before="0" w:after="100" w:line="276" w:lineRule="auto"/>
      </w:pPr>
      <w:r>
        <w:rPr>
          <w:rFonts w:ascii="Times New Roman" w:hAnsi="Times New Roman"/>
          <w:color w:val="000000"/>
          <w:sz w:val="24"/>
        </w:rPr>
        <w:t>To guarantee clear accountability across the project lifecycle, roles are formalized using a standard RACI framework (Responsible, Accountable, Consulted, Informed) across operational milestones.</w:t>
      </w:r>
    </w:p>
    <w:tbl>
      <w:tblPr>
        <w:tblW w:type="auto" w:w="0"/>
        <w:jc w:val="center"/>
        <w:tblLook w:firstColumn="1" w:firstRow="1" w:lastColumn="0" w:lastRow="0" w:noHBand="0" w:noVBand="1" w:val="04A0"/>
      </w:tblPr>
      <w:tblGrid>
        <w:gridCol w:w="1632"/>
        <w:gridCol w:w="1632"/>
        <w:gridCol w:w="1632"/>
        <w:gridCol w:w="1632"/>
        <w:gridCol w:w="1632"/>
        <w:gridCol w:w="1632"/>
      </w:tblGrid>
      <w:tr>
        <w:trPr>
          <w:tblHeader/>
          <w:cantSplit/>
        </w:trPr>
        <w:tc>
          <w:tcPr>
            <w:tcW w:type="dxa" w:w="259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Project Milestone Phase</w:t>
            </w:r>
          </w:p>
        </w:tc>
        <w:tc>
          <w:tcPr>
            <w:tcW w:type="dxa" w:w="144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Data Analyst (Author)</w:t>
            </w:r>
          </w:p>
        </w:tc>
        <w:tc>
          <w:tcPr>
            <w:tcW w:type="dxa" w:w="144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CMO / Clinical Lead</w:t>
            </w:r>
          </w:p>
        </w:tc>
        <w:tc>
          <w:tcPr>
            <w:tcW w:type="dxa" w:w="144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CFO / Finance</w:t>
            </w:r>
          </w:p>
        </w:tc>
        <w:tc>
          <w:tcPr>
            <w:tcW w:type="dxa" w:w="144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Nurse Managers</w:t>
            </w:r>
          </w:p>
        </w:tc>
        <w:tc>
          <w:tcPr>
            <w:tcW w:type="dxa" w:w="144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Hospital IT</w:t>
            </w:r>
          </w:p>
        </w:tc>
      </w:tr>
      <w:tr>
        <w:trPr>
          <w:cantSplit/>
        </w:trPr>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Problem Definition &amp; Scope (W1)</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Responsible (R)</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Accountable (A)</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Consulted (C)</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Consulted (C)</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Informed (I)</w:t>
            </w:r>
          </w:p>
        </w:tc>
      </w:tr>
      <w:tr>
        <w:trPr>
          <w:cantSplit/>
        </w:trPr>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Data Sourcing &amp; QA Cleansing (W2)</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Responsible (R)</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Consulted (C)</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Informed (I)</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Informed (I)</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Accountable (A)</w:t>
            </w:r>
          </w:p>
        </w:tc>
      </w:tr>
      <w:tr>
        <w:trPr>
          <w:cantSplit/>
        </w:trPr>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Visual Analytics &amp; Dashboards (W3)</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Responsible (R)</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Consulted (C)</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Consulted (C)</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Accountable (A)</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Informed (I)</w:t>
            </w:r>
          </w:p>
        </w:tc>
      </w:tr>
      <w:tr>
        <w:trPr>
          <w:cantSplit/>
        </w:trPr>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Predictive ML Modeling (W4)</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Responsible (R)</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Accountable (A)</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Informed (I)</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Consulted (C)</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Informed (I)</w:t>
            </w:r>
          </w:p>
        </w:tc>
      </w:tr>
      <w:tr>
        <w:trPr>
          <w:cantSplit/>
        </w:trPr>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Clinical Evidence &amp; Policy (W5)</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Responsible (R)</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Accountable (A)</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Accountable (A)</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Consulted (C)</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Informed (I)</w:t>
            </w:r>
          </w:p>
        </w:tc>
      </w:tr>
      <w:tr>
        <w:trPr>
          <w:cantSplit/>
        </w:trPr>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Capstone Integration &amp; Handoff (W6)</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Responsible (R)</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Accountable (A)</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Informed (I)</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Accountable (A)</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Consulted (C)</w:t>
            </w:r>
          </w:p>
        </w:tc>
      </w:tr>
    </w:tbl>
    <w:p>
      <w:pPr>
        <w:keepNext/>
        <w:widowControl/>
        <w:spacing w:before="320" w:after="100"/>
      </w:pPr>
      <w:r>
        <w:rPr>
          <w:rFonts w:ascii="Times New Roman" w:hAnsi="Times New Roman"/>
          <w:b/>
          <w:color w:val="000000"/>
          <w:sz w:val="36"/>
        </w:rPr>
        <w:t>4. Clinical Data Landscape &amp; Multi-Source Infrastructure</w:t>
      </w:r>
    </w:p>
    <w:p>
      <w:pPr>
        <w:keepNext/>
        <w:widowControl/>
        <w:spacing w:before="0" w:after="100" w:line="276" w:lineRule="auto"/>
      </w:pPr>
      <w:r>
        <w:rPr>
          <w:rFonts w:ascii="Times New Roman" w:hAnsi="Times New Roman"/>
          <w:color w:val="000000"/>
          <w:sz w:val="24"/>
        </w:rPr>
        <w:t>Hospital data architecture is characterized by heterogeneous silos spanning transactional admission engines, bedside monitors, clinical laboratories, and billing clearinghouses. Synthesizing these disparate sources into an integrated analytical schema requires strict governance, de-identification, and validation protocols.</w:t>
      </w:r>
    </w:p>
    <w:tbl>
      <w:tblPr>
        <w:tblW w:type="auto" w:w="0"/>
        <w:jc w:val="center"/>
        <w:tblLook w:firstColumn="1" w:firstRow="1" w:lastColumn="0" w:lastRow="0" w:noHBand="0" w:noVBand="1" w:val="04A0"/>
      </w:tblPr>
      <w:tblGrid>
        <w:gridCol w:w="1958"/>
        <w:gridCol w:w="1958"/>
        <w:gridCol w:w="1958"/>
        <w:gridCol w:w="1958"/>
        <w:gridCol w:w="1958"/>
      </w:tblGrid>
      <w:tr>
        <w:trPr>
          <w:tblHeader/>
          <w:cantSplit/>
        </w:trPr>
        <w:tc>
          <w:tcPr>
            <w:tcW w:type="dxa" w:w="201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Data Source Domain</w:t>
            </w:r>
          </w:p>
        </w:tc>
        <w:tc>
          <w:tcPr>
            <w:tcW w:type="dxa" w:w="201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System Modality</w:t>
            </w:r>
          </w:p>
        </w:tc>
        <w:tc>
          <w:tcPr>
            <w:tcW w:type="dxa" w:w="187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Ingestion Frequency</w:t>
            </w:r>
          </w:p>
        </w:tc>
        <w:tc>
          <w:tcPr>
            <w:tcW w:type="dxa" w:w="259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Key Extracted Features</w:t>
            </w:r>
          </w:p>
        </w:tc>
        <w:tc>
          <w:tcPr>
            <w:tcW w:type="dxa" w:w="158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Governance Rule</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Electronic Health Record (EHR)</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Relational Inpatient DB</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Daily batch / Near real-time</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Demographics, admission type, ICD-10 diagnosis codes, discharge disposition</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HIPAA Safe Harbor De-id</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Laboratory Info System (LIS)</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Clinical Lab Interface</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Hourly transactional feed</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HbA1c, serum creatinine, BUN, electrolytes, complete blood count</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Biological range bounds</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Pharmacy Dispensing (Pyxis)</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Medication Administration</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Daily transactional extract</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Active prescription count, high-risk anticoagulants, polypharmacy score</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RxNorm taxonomy mapping</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Billing &amp; Claims Engine</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Financial DRG Repository</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Discharge-triggered extract</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CMS MS-DRG codes, primary diagnosis, secondary comorbidity counts</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CMS coding guidelines</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Bed Management System (ADT)</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Telemetry Engine</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Real-time HL7/FHIR feeds</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Bed placement, ward transfers, admission timestamp, discharge timestamp</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Audit trail validation</w:t>
            </w:r>
          </w:p>
        </w:tc>
      </w:tr>
    </w:tbl>
    <w:p>
      <w:pPr>
        <w:keepNext/>
        <w:widowControl/>
        <w:spacing w:before="240" w:after="80"/>
      </w:pPr>
      <w:r>
        <w:rPr>
          <w:rFonts w:ascii="Times New Roman" w:hAnsi="Times New Roman"/>
          <w:b/>
          <w:color w:val="000000"/>
          <w:sz w:val="32"/>
        </w:rPr>
        <w:t>4.2 Data Quality Assurance Framework (Kahn Methodology)</w:t>
      </w:r>
    </w:p>
    <w:p>
      <w:pPr>
        <w:keepNext/>
        <w:widowControl/>
        <w:spacing w:before="0" w:after="100" w:line="276" w:lineRule="auto"/>
      </w:pPr>
      <w:r>
        <w:rPr>
          <w:rFonts w:ascii="Times New Roman" w:hAnsi="Times New Roman"/>
          <w:color w:val="000000"/>
          <w:sz w:val="24"/>
        </w:rPr>
        <w:t>Clinical analytics models are highly sensitive to erroneous lab values, telemetry artifacts, and unrecorded discharge dispositions. This project implements the Kahn Harmonized Data Quality Framework across four foundational pillars:</w:t>
      </w:r>
    </w:p>
    <w:p>
      <w:pPr>
        <w:pStyle w:val="ListBullet"/>
        <w:spacing w:after="60" w:line="276" w:lineRule="auto"/>
      </w:pPr>
      <w:r>
        <w:rPr>
          <w:rFonts w:ascii="Times New Roman" w:hAnsi="Times New Roman"/>
          <w:b/>
          <w:color w:val="000000"/>
          <w:sz w:val="24"/>
        </w:rPr>
        <w:t xml:space="preserve">Completeness Assessment: </w:t>
      </w:r>
      <w:r>
        <w:rPr>
          <w:rFonts w:ascii="Times New Roman" w:hAnsi="Times New Roman"/>
          <w:color w:val="000000"/>
          <w:sz w:val="24"/>
        </w:rPr>
        <w:t>Quantify field-level missingness across demographic, procedural, and laboratory attributes. Require 100% completeness for core keys, admission/discharge timestamps, and 30-day readmission status. Impute missing lab biomarkers using clinically conditional methods.</w:t>
      </w:r>
    </w:p>
    <w:p>
      <w:pPr>
        <w:pStyle w:val="ListBullet"/>
        <w:spacing w:after="60" w:line="276" w:lineRule="auto"/>
      </w:pPr>
      <w:r>
        <w:rPr>
          <w:rFonts w:ascii="Times New Roman" w:hAnsi="Times New Roman"/>
          <w:b/>
          <w:color w:val="000000"/>
          <w:sz w:val="24"/>
        </w:rPr>
        <w:t xml:space="preserve">Conformance Validation: </w:t>
      </w:r>
      <w:r>
        <w:rPr>
          <w:rFonts w:ascii="Times New Roman" w:hAnsi="Times New Roman"/>
          <w:color w:val="000000"/>
          <w:sz w:val="24"/>
        </w:rPr>
        <w:t>Ensure all clinical variables conform strictly to established medical nomenclatures, including ICD-10-CM for diagnoses, LOINC for laboratory observations, and standard CMS discharge disposition categorizations.</w:t>
      </w:r>
    </w:p>
    <w:p>
      <w:pPr>
        <w:pStyle w:val="ListBullet"/>
        <w:spacing w:after="60" w:line="276" w:lineRule="auto"/>
      </w:pPr>
      <w:r>
        <w:rPr>
          <w:rFonts w:ascii="Times New Roman" w:hAnsi="Times New Roman"/>
          <w:b/>
          <w:color w:val="000000"/>
          <w:sz w:val="24"/>
        </w:rPr>
        <w:t xml:space="preserve">Plausibility Screening: </w:t>
      </w:r>
      <w:r>
        <w:rPr>
          <w:rFonts w:ascii="Times New Roman" w:hAnsi="Times New Roman"/>
          <w:color w:val="000000"/>
          <w:sz w:val="24"/>
        </w:rPr>
        <w:t>Implement physiological threshold checks to identify sensor artifacts and documentation errors (e.g., verifying systolic blood pressure between 60 and 240 mmHg, serum creatinine between 0.4 and 15.0 mg/dL).</w:t>
      </w:r>
    </w:p>
    <w:p>
      <w:pPr>
        <w:pStyle w:val="ListBullet"/>
        <w:spacing w:after="60" w:line="276" w:lineRule="auto"/>
      </w:pPr>
      <w:r>
        <w:rPr>
          <w:rFonts w:ascii="Times New Roman" w:hAnsi="Times New Roman"/>
          <w:b/>
          <w:color w:val="000000"/>
          <w:sz w:val="24"/>
        </w:rPr>
        <w:t xml:space="preserve">Temporal Consistency: </w:t>
      </w:r>
      <w:r>
        <w:rPr>
          <w:rFonts w:ascii="Times New Roman" w:hAnsi="Times New Roman"/>
          <w:color w:val="000000"/>
          <w:sz w:val="24"/>
        </w:rPr>
        <w:t>Enforce logical chronological sequences across encounter events: Admission Date &lt;= Diagnostic Testing Date &lt;= Procedure Date &lt;= Discharge Date &lt;= Post-Acute Readmission Date.</w:t>
      </w:r>
    </w:p>
    <w:p>
      <w:pPr>
        <w:keepNext/>
        <w:widowControl/>
        <w:spacing w:before="320" w:after="100"/>
      </w:pPr>
      <w:r>
        <w:rPr>
          <w:rFonts w:ascii="Times New Roman" w:hAnsi="Times New Roman"/>
          <w:b/>
          <w:color w:val="000000"/>
          <w:sz w:val="36"/>
        </w:rPr>
        <w:t>5. End-to-End Analytical Architecture &amp; Technical Roadmap</w:t>
      </w:r>
    </w:p>
    <w:p>
      <w:pPr>
        <w:keepNext/>
        <w:widowControl/>
        <w:spacing w:before="0" w:after="100" w:line="276" w:lineRule="auto"/>
      </w:pPr>
      <w:r>
        <w:rPr>
          <w:rFonts w:ascii="Times New Roman" w:hAnsi="Times New Roman"/>
          <w:color w:val="000000"/>
          <w:sz w:val="24"/>
        </w:rPr>
        <w:t>The project execution is organized into six consecutive technical milestones, transforming raw transactional electronic health records into validated predictive intelligence and frontline decision-support tools.</w:t>
      </w:r>
    </w:p>
    <w:tbl>
      <w:tblPr>
        <w:tblW w:type="auto" w:w="0"/>
        <w:jc w:val="center"/>
        <w:tblLook w:firstColumn="1" w:firstRow="1" w:lastColumn="0" w:lastRow="0" w:noHBand="0" w:noVBand="1" w:val="04A0"/>
      </w:tblPr>
      <w:tblGrid>
        <w:gridCol w:w="2448"/>
        <w:gridCol w:w="2448"/>
        <w:gridCol w:w="2448"/>
        <w:gridCol w:w="2448"/>
      </w:tblGrid>
      <w:tr>
        <w:trPr>
          <w:tblHeader/>
          <w:cantSplit/>
        </w:trPr>
        <w:tc>
          <w:tcPr>
            <w:tcW w:type="dxa" w:w="115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Phase</w:t>
            </w:r>
          </w:p>
        </w:tc>
        <w:tc>
          <w:tcPr>
            <w:tcW w:type="dxa" w:w="201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Milestone Focus</w:t>
            </w:r>
          </w:p>
        </w:tc>
        <w:tc>
          <w:tcPr>
            <w:tcW w:type="dxa" w:w="417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Core Technical Tasks &amp; Analytical Workflow</w:t>
            </w:r>
          </w:p>
        </w:tc>
        <w:tc>
          <w:tcPr>
            <w:tcW w:type="dxa" w:w="2448"/>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Target Deliverable Artifact</w:t>
            </w:r>
          </w:p>
        </w:tc>
      </w:tr>
      <w:tr>
        <w:trPr>
          <w:cantSplit/>
        </w:trPr>
        <w:tc>
          <w:tcPr>
            <w:tcW w:type="dxa" w:w="115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1</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Planning &amp; Strategy</w:t>
            </w:r>
          </w:p>
        </w:tc>
        <w:tc>
          <w:tcPr>
            <w:tcW w:type="dxa" w:w="417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Charter formulation, KPI definitions, stakeholder matrix, regulatory scope</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Strategic Project Charter DOCX</w:t>
            </w:r>
          </w:p>
        </w:tc>
      </w:tr>
      <w:tr>
        <w:trPr>
          <w:cantSplit/>
        </w:trPr>
        <w:tc>
          <w:tcPr>
            <w:tcW w:type="dxa" w:w="115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2</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Data Sourcing &amp; QA</w:t>
            </w:r>
          </w:p>
        </w:tc>
        <w:tc>
          <w:tcPr>
            <w:tcW w:type="dxa" w:w="417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10,000-encounter cohort ingestion, Kahn QA audit, HIPAA de-identification</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Quality Assurance Protocol DOCX &amp; Dataset</w:t>
            </w:r>
          </w:p>
        </w:tc>
      </w:tr>
      <w:tr>
        <w:trPr>
          <w:cantSplit/>
        </w:trPr>
        <w:tc>
          <w:tcPr>
            <w:tcW w:type="dxa" w:w="115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3</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Visual Analytics</w:t>
            </w:r>
          </w:p>
        </w:tc>
        <w:tc>
          <w:tcPr>
            <w:tcW w:type="dxa" w:w="417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Clinical KPI metrics, bivariate distribution charts, dashboard wireframes</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Visualization &amp; Communication Plan DOCX</w:t>
            </w:r>
          </w:p>
        </w:tc>
      </w:tr>
      <w:tr>
        <w:trPr>
          <w:cantSplit/>
        </w:trPr>
        <w:tc>
          <w:tcPr>
            <w:tcW w:type="dxa" w:w="115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4</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Predictive Modeling</w:t>
            </w:r>
          </w:p>
        </w:tc>
        <w:tc>
          <w:tcPr>
            <w:tcW w:type="dxa" w:w="417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Feature engineering, LightGBM/XGBoost training, 5-fold CV, SHAP explainability</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Predictive Modeling Technical Report DOCX</w:t>
            </w:r>
          </w:p>
        </w:tc>
      </w:tr>
      <w:tr>
        <w:trPr>
          <w:cantSplit/>
        </w:trPr>
        <w:tc>
          <w:tcPr>
            <w:tcW w:type="dxa" w:w="115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5</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Clinical Evidence</w:t>
            </w:r>
          </w:p>
        </w:tc>
        <w:tc>
          <w:tcPr>
            <w:tcW w:type="dxa" w:w="417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Residual analysis, HRRP financial risk modeling, care transition policy design</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Evidence-Based Policy Report DOCX</w:t>
            </w:r>
          </w:p>
        </w:tc>
      </w:tr>
      <w:tr>
        <w:trPr>
          <w:cantSplit/>
        </w:trPr>
        <w:tc>
          <w:tcPr>
            <w:tcW w:type="dxa" w:w="115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6</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Capstone Integration</w:t>
            </w:r>
          </w:p>
        </w:tc>
        <w:tc>
          <w:tcPr>
            <w:tcW w:type="dxa" w:w="417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Pipeline packaging, monitoring architecture, technical self-assessment</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Comprehensive Project Capstone DOCX</w:t>
            </w:r>
          </w:p>
        </w:tc>
      </w:tr>
    </w:tbl>
    <w:p>
      <w:pPr>
        <w:keepNext/>
        <w:widowControl/>
        <w:spacing w:before="240" w:after="80"/>
      </w:pPr>
      <w:r>
        <w:rPr>
          <w:rFonts w:ascii="Times New Roman" w:hAnsi="Times New Roman"/>
          <w:b/>
          <w:color w:val="000000"/>
          <w:sz w:val="32"/>
        </w:rPr>
        <w:t>5.2 System Architectural Flow</w:t>
      </w:r>
    </w:p>
    <w:p>
      <w:pPr>
        <w:keepNext/>
        <w:widowControl/>
        <w:spacing w:before="0" w:after="100" w:line="276" w:lineRule="auto"/>
      </w:pPr>
      <w:r>
        <w:rPr>
          <w:rFonts w:ascii="Times New Roman" w:hAnsi="Times New Roman"/>
          <w:color w:val="000000"/>
          <w:sz w:val="24"/>
        </w:rPr>
        <w:t>The analytical pipeline is structured across four decoupled architectural layers to guarantee reproducibility, modularity, and clinical auditability:</w:t>
      </w:r>
    </w:p>
    <w:p>
      <w:pPr>
        <w:pStyle w:val="ListBullet"/>
        <w:spacing w:after="60" w:line="276" w:lineRule="auto"/>
      </w:pPr>
      <w:r>
        <w:rPr>
          <w:rFonts w:ascii="Times New Roman" w:hAnsi="Times New Roman"/>
          <w:b/>
          <w:color w:val="000000"/>
          <w:sz w:val="24"/>
        </w:rPr>
        <w:t xml:space="preserve">1. Ingestion &amp; Preprocessing Layer: </w:t>
      </w:r>
      <w:r>
        <w:rPr>
          <w:rFonts w:ascii="Times New Roman" w:hAnsi="Times New Roman"/>
          <w:color w:val="000000"/>
          <w:sz w:val="24"/>
        </w:rPr>
        <w:t>Automated ingestion scripts parse raw multi-source EHR extracts, validate data schemas, apply HIPAA de-identification, and structure data into analytical tables.</w:t>
      </w:r>
    </w:p>
    <w:p>
      <w:pPr>
        <w:pStyle w:val="ListBullet"/>
        <w:spacing w:after="60" w:line="276" w:lineRule="auto"/>
      </w:pPr>
      <w:r>
        <w:rPr>
          <w:rFonts w:ascii="Times New Roman" w:hAnsi="Times New Roman"/>
          <w:b/>
          <w:color w:val="000000"/>
          <w:sz w:val="24"/>
        </w:rPr>
        <w:t xml:space="preserve">2. Feature Engineering &amp; Store Layer: </w:t>
      </w:r>
      <w:r>
        <w:rPr>
          <w:rFonts w:ascii="Times New Roman" w:hAnsi="Times New Roman"/>
          <w:color w:val="000000"/>
          <w:sz w:val="24"/>
        </w:rPr>
        <w:t>Calculates temporal trajectories, Charlson Comorbidity scores, medication polypharmacy counts, and prior healthcare utilization metrics, storing standardized feature vectors.</w:t>
      </w:r>
    </w:p>
    <w:p>
      <w:pPr>
        <w:pStyle w:val="ListBullet"/>
        <w:spacing w:after="60" w:line="276" w:lineRule="auto"/>
      </w:pPr>
      <w:r>
        <w:rPr>
          <w:rFonts w:ascii="Times New Roman" w:hAnsi="Times New Roman"/>
          <w:b/>
          <w:color w:val="000000"/>
          <w:sz w:val="24"/>
        </w:rPr>
        <w:t xml:space="preserve">3. Model Training &amp; Evaluation Engine: </w:t>
      </w:r>
      <w:r>
        <w:rPr>
          <w:rFonts w:ascii="Times New Roman" w:hAnsi="Times New Roman"/>
          <w:color w:val="000000"/>
          <w:sz w:val="24"/>
        </w:rPr>
        <w:t>Executes stratified k-fold cross-validation, trains gradient boosted trees and logistic baselines, optimizes decision thresholds based on clinical cost matrices, and generates SHAP explanations.</w:t>
      </w:r>
    </w:p>
    <w:p>
      <w:pPr>
        <w:pStyle w:val="ListBullet"/>
        <w:spacing w:after="60" w:line="276" w:lineRule="auto"/>
      </w:pPr>
      <w:r>
        <w:rPr>
          <w:rFonts w:ascii="Times New Roman" w:hAnsi="Times New Roman"/>
          <w:b/>
          <w:color w:val="000000"/>
          <w:sz w:val="24"/>
        </w:rPr>
        <w:t xml:space="preserve">4. Presentation &amp; Decision Support Layer: </w:t>
      </w:r>
      <w:r>
        <w:rPr>
          <w:rFonts w:ascii="Times New Roman" w:hAnsi="Times New Roman"/>
          <w:color w:val="000000"/>
          <w:sz w:val="24"/>
        </w:rPr>
        <w:t>Serves executive BI dashboards (Power BI / Tableau) and clinical worklists, presenting risk scores and top risk drivers directly to care coordinators.</w:t>
      </w:r>
    </w:p>
    <w:p>
      <w:pPr>
        <w:keepNext/>
        <w:widowControl/>
        <w:spacing w:before="320" w:after="100"/>
      </w:pPr>
      <w:r>
        <w:rPr>
          <w:rFonts w:ascii="Times New Roman" w:hAnsi="Times New Roman"/>
          <w:b/>
          <w:color w:val="000000"/>
          <w:sz w:val="36"/>
        </w:rPr>
        <w:t>6. Healthcare Risk Management &amp; Mitigation Framework</w:t>
      </w:r>
    </w:p>
    <w:p>
      <w:pPr>
        <w:keepNext/>
        <w:widowControl/>
        <w:spacing w:before="0" w:after="100" w:line="276" w:lineRule="auto"/>
      </w:pPr>
      <w:r>
        <w:rPr>
          <w:rFonts w:ascii="Times New Roman" w:hAnsi="Times New Roman"/>
          <w:color w:val="000000"/>
          <w:sz w:val="24"/>
        </w:rPr>
        <w:t>Healthcare data environments entail substantial legal, ethical, and operational risks. Failure to address privacy, algorithmic bias, or clinical alert fatigue can result in regulatory sanctions and frontline rejection of analytics tools.</w:t>
      </w:r>
    </w:p>
    <w:tbl>
      <w:tblPr>
        <w:tblW w:type="auto" w:w="0"/>
        <w:jc w:val="center"/>
        <w:tblLook w:firstColumn="1" w:firstRow="1" w:lastColumn="0" w:lastRow="0" w:noHBand="0" w:noVBand="1" w:val="04A0"/>
      </w:tblPr>
      <w:tblGrid>
        <w:gridCol w:w="2448"/>
        <w:gridCol w:w="2448"/>
        <w:gridCol w:w="2448"/>
        <w:gridCol w:w="2448"/>
      </w:tblGrid>
      <w:tr>
        <w:trPr>
          <w:tblHeader/>
          <w:cantSplit/>
        </w:trPr>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Identified Risk Event</w:t>
            </w:r>
          </w:p>
        </w:tc>
        <w:tc>
          <w:tcPr>
            <w:tcW w:type="dxa" w:w="129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Risk Level</w:t>
            </w:r>
          </w:p>
        </w:tc>
        <w:tc>
          <w:tcPr>
            <w:tcW w:type="dxa" w:w="288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Operational &amp; Clinical Impact</w:t>
            </w:r>
          </w:p>
        </w:tc>
        <w:tc>
          <w:tcPr>
            <w:tcW w:type="dxa" w:w="345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Preemptive Mitigation Strategy</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HIPAA Security Violation</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Critical</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Federal financial penalties, loss of accreditation, patient harm</w:t>
            </w:r>
          </w:p>
        </w:tc>
        <w:tc>
          <w:tcPr>
            <w:tcW w:type="dxa" w:w="345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Strict Safe Harbor de-identification, salted SHA-256 hashing, zero PHI storage</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Target Data Leakage</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Artificially inflated metrics; model failure in real clinical production</w:t>
            </w:r>
          </w:p>
        </w:tc>
        <w:tc>
          <w:tcPr>
            <w:tcW w:type="dxa" w:w="345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Enforce temporal separation: strictly exclude post-discharge data from model training</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Clinician Alert Fatigue</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Nurses and physicians dismiss risk alerts, leading to zero adoption</w:t>
            </w:r>
          </w:p>
        </w:tc>
        <w:tc>
          <w:tcPr>
            <w:tcW w:type="dxa" w:w="345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Calibrate decision thresholds to trigger alerts on top 15-20% highest-risk encounters only</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Class Imbalance Bias</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Medium</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Models predict non-readmission accurately but miss high-risk patients</w:t>
            </w:r>
          </w:p>
        </w:tc>
        <w:tc>
          <w:tcPr>
            <w:tcW w:type="dxa" w:w="345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Apply Precision-Recall optimization, focal loss, and cost-sensitive threshold tuning</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Underrepresented Subgroups</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Medium</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Disparate false negative rates across demographic groups</w:t>
            </w:r>
          </w:p>
        </w:tc>
        <w:tc>
          <w:tcPr>
            <w:tcW w:type="dxa" w:w="345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Conduct subgroup fairness audits, verifying equalized odds across age and sex brackets</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Clinical Workflow Disconnect</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Medium</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Risk predictions fail to connect to actionable clinical protocols</w:t>
            </w:r>
          </w:p>
        </w:tc>
        <w:tc>
          <w:tcPr>
            <w:tcW w:type="dxa" w:w="345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Pair every high-risk alert with standardized Project RED discharge care pathways</w:t>
            </w:r>
          </w:p>
        </w:tc>
      </w:tr>
    </w:tbl>
    <w:p>
      <w:pPr>
        <w:keepNext/>
        <w:widowControl/>
        <w:spacing w:before="320" w:after="100"/>
      </w:pPr>
      <w:r>
        <w:rPr>
          <w:rFonts w:ascii="Times New Roman" w:hAnsi="Times New Roman"/>
          <w:b/>
          <w:color w:val="000000"/>
          <w:sz w:val="36"/>
        </w:rPr>
        <w:t>7. Strategic Milestones, Phase-Gate Criteria &amp; Governance Sign-Off</w:t>
      </w:r>
    </w:p>
    <w:p>
      <w:pPr>
        <w:keepNext/>
        <w:widowControl/>
        <w:spacing w:before="0" w:after="100" w:line="276" w:lineRule="auto"/>
      </w:pPr>
      <w:r>
        <w:rPr>
          <w:rFonts w:ascii="Times New Roman" w:hAnsi="Times New Roman"/>
          <w:color w:val="000000"/>
          <w:sz w:val="24"/>
        </w:rPr>
        <w:t>To enforce engineering discipline and maintain project momentum, each development milestone is governed by explicit phase-gate criteria. Transitioning to subsequent development phases requires meeting quantitative verification gates.</w:t>
      </w:r>
    </w:p>
    <w:tbl>
      <w:tblPr>
        <w:tblW w:type="auto" w:w="0"/>
        <w:jc w:val="center"/>
        <w:tblLook w:firstColumn="1" w:firstRow="1" w:lastColumn="0" w:lastRow="0" w:noHBand="0" w:noVBand="1" w:val="04A0"/>
      </w:tblPr>
      <w:tblGrid>
        <w:gridCol w:w="2448"/>
        <w:gridCol w:w="2448"/>
        <w:gridCol w:w="2448"/>
        <w:gridCol w:w="2448"/>
      </w:tblGrid>
      <w:tr>
        <w:trPr>
          <w:tblHeader/>
          <w:cantSplit/>
        </w:trPr>
        <w:tc>
          <w:tcPr>
            <w:tcW w:type="dxa" w:w="144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Phase Gate</w:t>
            </w:r>
          </w:p>
        </w:tc>
        <w:tc>
          <w:tcPr>
            <w:tcW w:type="dxa" w:w="230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Milestone Target</w:t>
            </w:r>
          </w:p>
        </w:tc>
        <w:tc>
          <w:tcPr>
            <w:tcW w:type="dxa" w:w="3888"/>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Mandatory Exit Verification Criteria</w:t>
            </w:r>
          </w:p>
        </w:tc>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Approval Authority</w:t>
            </w:r>
          </w:p>
        </w:tc>
      </w:tr>
      <w:tr>
        <w:trPr>
          <w:cantSplit/>
        </w:trPr>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Gate 1</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Planning Sign-Off</w:t>
            </w:r>
          </w:p>
        </w:tc>
        <w:tc>
          <w:tcPr>
            <w:tcW w:type="dxa" w:w="388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Documented project charter, quantitative KPIs approved, risk register verified</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CMO &amp; Project Sponsor</w:t>
            </w:r>
          </w:p>
        </w:tc>
      </w:tr>
      <w:tr>
        <w:trPr>
          <w:cantSplit/>
        </w:trPr>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Gate 2</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Data Ingestion Sign-Off</w:t>
            </w:r>
          </w:p>
        </w:tc>
        <w:tc>
          <w:tcPr>
            <w:tcW w:type="dxa" w:w="388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Kahn QA completeness &gt;= 98%, zero PHI leakage, clean 10,000-encounter cohort</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Hospital IT &amp; Lead Analyst</w:t>
            </w:r>
          </w:p>
        </w:tc>
      </w:tr>
      <w:tr>
        <w:trPr>
          <w:cantSplit/>
        </w:trPr>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Gate 3</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EDA &amp; Metric Sign-Off</w:t>
            </w:r>
          </w:p>
        </w:tc>
        <w:tc>
          <w:tcPr>
            <w:tcW w:type="dxa" w:w="388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Baseline readmission rate calculated, wireframe dashboards reviewed by nursing</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Nurse Unit Leadership</w:t>
            </w:r>
          </w:p>
        </w:tc>
      </w:tr>
      <w:tr>
        <w:trPr>
          <w:cantSplit/>
        </w:trPr>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Gate 4</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Model Validation Sign-Off</w:t>
            </w:r>
          </w:p>
        </w:tc>
        <w:tc>
          <w:tcPr>
            <w:tcW w:type="dxa" w:w="388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AUROC &gt;= 0.80 on test set, SHAP feature rankings validated by clinicians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Clinical Informatics Lead</w:t>
            </w:r>
          </w:p>
        </w:tc>
      </w:tr>
      <w:tr>
        <w:trPr>
          <w:cantSplit/>
        </w:trPr>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Gate 5</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Policy Recommendations</w:t>
            </w:r>
          </w:p>
        </w:tc>
        <w:tc>
          <w:tcPr>
            <w:tcW w:type="dxa" w:w="388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HRRP penalty reduction model validated, care transition protocols drafted</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Chief Financial Officer</w:t>
            </w:r>
          </w:p>
        </w:tc>
      </w:tr>
      <w:tr>
        <w:trPr>
          <w:cantSplit/>
        </w:trPr>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Gate 6</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Final Capstone Approval</w:t>
            </w:r>
          </w:p>
        </w:tc>
        <w:tc>
          <w:tcPr>
            <w:tcW w:type="dxa" w:w="388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Full analytical code packaged, self-assessment completed, handoff sign-off</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Executive Steering Board</w:t>
            </w:r>
          </w:p>
        </w:tc>
      </w:tr>
    </w:tbl>
    <w:p>
      <w:pPr>
        <w:widowControl/>
        <w:spacing w:before="0" w:after="100" w:line="276" w:lineRule="auto"/>
      </w:pPr>
      <w:r>
        <w:rPr>
          <w:rFonts w:ascii="Times New Roman" w:hAnsi="Times New Roman"/>
          <w:color w:val="000000"/>
          <w:sz w:val="24"/>
        </w:rPr>
        <w:t>Strategic Conclusion: The successful execution of this planning and strategy blueprint establishes a solid, clinically grounded foundation for the Healthcare Data Analyst Internship. In Week 2, active data engineering commences with the multi-source ingestion of the 10,000-patient inpatient dataset, execution of the Kahn quality assurance audit, and preparation of the standardized clinical cohort for predictive risk modeling.</w:t>
      </w:r>
    </w:p>
    <w:p>
      <w:pPr>
        <w:spacing w:before="280"/>
        <w:jc w:val="center"/>
      </w:pPr>
      <w:r>
        <w:rPr>
          <w:rFonts w:ascii="Times New Roman" w:hAnsi="Times New Roman"/>
          <w:i/>
          <w:color w:val="000000"/>
          <w:sz w:val="24"/>
        </w:rPr>
        <w:t>— End of Strategic Planning and Healthcare Analytical Strategy Deliverable (Week 1) —</w:t>
        <w:br/>
        <w:t>Prepared by Ankit Kumar | Healthcare Data Analyst Intern</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4"/>
      </w:rPr>
      <w:t xml:space="preserve">Healthcare Data Analyst Intern | Page </w:t>
    </w:r>
    <w:r>
      <w:rPr>
        <w:rFonts w:ascii="Times New Roman" w:hAnsi="Times New Roman"/>
        <w:color w:val="000000"/>
        <w:sz w:val="24"/>
      </w:rPr>
      <w:fldChar w:fldCharType="begin"/>
      <w:instrText xml:space="preserve"> PAGE </w:instrText>
      <w:fldChar w:fldCharType="separate"/>
      <w:fldChar w:fldCharType="end"/>
    </w:r>
    <w:r>
      <w:rPr>
        <w:rFonts w:ascii="Times New Roman" w:hAnsi="Times New Roman"/>
        <w:color w:val="000000"/>
        <w:sz w:val="24"/>
      </w:rPr>
      <w:t xml:space="preserve"> of </w:t>
    </w:r>
    <w:r>
      <w:rPr>
        <w:rFonts w:ascii="Times New Roman" w:hAnsi="Times New Roman"/>
        <w:color w:val="000000"/>
        <w:sz w:val="24"/>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t>Week 1 Task: Healthcare Data Analysis Planning and Strategy | Ankit Kumar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