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pPr>
      <w:r>
        <w:rPr>
          <w:rFonts w:ascii="Times New Roman" w:hAnsi="Times New Roman"/>
          <w:b/>
          <w:color w:val="000000"/>
          <w:sz w:val="28"/>
        </w:rPr>
        <w:t>INTERNSHIP DELIVERABLE — WEEK 2</w:t>
      </w:r>
    </w:p>
    <w:p>
      <w:pPr>
        <w:keepNext/>
        <w:spacing w:before="40" w:after="80"/>
      </w:pPr>
      <w:r>
        <w:rPr>
          <w:rFonts w:ascii="Times New Roman" w:hAnsi="Times New Roman"/>
          <w:b/>
          <w:color w:val="000000"/>
          <w:sz w:val="40"/>
        </w:rPr>
        <w:t>Healthcare Data Collection and Quality Assurance Planning</w:t>
      </w:r>
    </w:p>
    <w:p>
      <w:pPr>
        <w:keepNext/>
        <w:spacing w:after="120"/>
      </w:pPr>
      <w:r>
        <w:rPr>
          <w:rFonts w:ascii="Times New Roman" w:hAnsi="Times New Roman"/>
          <w:i/>
          <w:color w:val="000000"/>
          <w:sz w:val="26"/>
        </w:rPr>
        <w:t>Clinical Data Ingestion Protocols, Kahn Quality Framework, and Multi-Source Cohort Cleansing</w:t>
      </w:r>
    </w:p>
    <w:tbl>
      <w:tblPr>
        <w:tblW w:type="auto" w:w="0"/>
        <w:jc w:val="center"/>
        <w:tblLook w:firstColumn="1" w:firstRow="1" w:lastColumn="0" w:lastRow="0" w:noHBand="0" w:noVBand="1" w:val="04A0"/>
      </w:tblPr>
      <w:tblGrid>
        <w:gridCol w:w="4896"/>
        <w:gridCol w:w="4896"/>
      </w:tblGrid>
      <w:tr>
        <w:trPr>
          <w:cantSplit/>
        </w:trPr>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Intern / Author: </w:t>
            </w:r>
            <w:r>
              <w:rPr>
                <w:rFonts w:ascii="Times New Roman" w:hAnsi="Times New Roman"/>
                <w:b/>
                <w:color w:val="000000"/>
                <w:sz w:val="26"/>
              </w:rPr>
              <w:t>Ankit Kumar</w:t>
            </w:r>
          </w:p>
        </w:tc>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Target Role: </w:t>
            </w:r>
            <w:r>
              <w:rPr>
                <w:rFonts w:ascii="Times New Roman" w:hAnsi="Times New Roman"/>
                <w:color w:val="000000"/>
                <w:sz w:val="26"/>
              </w:rPr>
              <w:t>Healthcare Data Analyst Intern</w:t>
            </w:r>
          </w:p>
        </w:tc>
      </w:tr>
      <w:tr>
        <w:trPr>
          <w:cantSplit/>
        </w:trPr>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Track: </w:t>
            </w:r>
            <w:r>
              <w:rPr>
                <w:rFonts w:ascii="Times New Roman" w:hAnsi="Times New Roman"/>
                <w:color w:val="000000"/>
                <w:sz w:val="26"/>
              </w:rPr>
              <w:t>Healthcare Data Engineering &amp; Quality Assurance</w:t>
            </w:r>
          </w:p>
        </w:tc>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Deliverable ID: </w:t>
            </w:r>
            <w:r>
              <w:rPr>
                <w:rFonts w:ascii="Times New Roman" w:hAnsi="Times New Roman"/>
                <w:color w:val="000000"/>
                <w:sz w:val="26"/>
              </w:rPr>
              <w:t>Week 2 Data Architecture (W2)</w:t>
            </w:r>
          </w:p>
        </w:tc>
      </w:tr>
      <w:tr>
        <w:trPr>
          <w:cantSplit/>
        </w:trPr>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Target Cohort: </w:t>
            </w:r>
            <w:r>
              <w:rPr>
                <w:rFonts w:ascii="Times New Roman" w:hAnsi="Times New Roman"/>
                <w:color w:val="000000"/>
                <w:sz w:val="26"/>
              </w:rPr>
              <w:t>10,000 Inpatient Encounters across 5 Chronic Disease Cohorts</w:t>
            </w:r>
          </w:p>
        </w:tc>
        <w:tc>
          <w:tcPr>
            <w:tcW w:type="dxa" w:w="4896"/>
            <w:shd w:fill="FFFFFF"/>
            <w:tcMar>
              <w:top w:w="70" w:type="dxa"/>
              <w:bottom w:w="70" w:type="dxa"/>
              <w:left w:w="120" w:type="dxa"/>
              <w:right w:w="120" w:type="dxa"/>
            </w:tcMar>
            <w:tcBorders>
              <w:top w:val="single" w:sz="12" w:space="0" w:color="000000"/>
              <w:left w:val="single" w:sz="12" w:space="0" w:color="000000"/>
              <w:bottom w:val="single" w:sz="12" w:space="0" w:color="000000"/>
              <w:right w:val="single" w:sz="12" w:space="0" w:color="000000"/>
            </w:tcBorders>
          </w:tcPr>
          <w:p>
            <w:pPr>
              <w:spacing w:after="0" w:line="288" w:lineRule="auto"/>
            </w:pPr>
            <w:r>
              <w:rPr>
                <w:rFonts w:ascii="Times New Roman" w:hAnsi="Times New Roman"/>
                <w:b/>
                <w:color w:val="000000"/>
                <w:sz w:val="27"/>
              </w:rPr>
              <w:t xml:space="preserve">Pipeline Scope: </w:t>
            </w:r>
            <w:r>
              <w:rPr>
                <w:rFonts w:ascii="Times New Roman" w:hAnsi="Times New Roman"/>
                <w:color w:val="000000"/>
                <w:sz w:val="26"/>
              </w:rPr>
              <w:t>35 Hours Clinical Data Pipeline Engineering</w:t>
            </w:r>
          </w:p>
        </w:tc>
      </w:tr>
    </w:tbl>
    <w:p>
      <w:pPr>
        <w:spacing w:after="120"/>
      </w:pPr>
    </w:p>
    <w:p>
      <w:pPr>
        <w:keepNext/>
        <w:widowControl/>
        <w:spacing w:before="320" w:after="100"/>
      </w:pPr>
      <w:r>
        <w:rPr>
          <w:rFonts w:ascii="Times New Roman" w:hAnsi="Times New Roman"/>
          <w:b/>
          <w:color w:val="000000"/>
          <w:sz w:val="36"/>
        </w:rPr>
        <w:t>1. Clinical Data Ingestion Architecture &amp; Provenance</w:t>
      </w:r>
    </w:p>
    <w:p>
      <w:pPr>
        <w:widowControl/>
        <w:spacing w:before="0" w:after="100" w:line="276" w:lineRule="auto"/>
      </w:pPr>
      <w:r>
        <w:rPr>
          <w:rFonts w:ascii="Times New Roman" w:hAnsi="Times New Roman"/>
          <w:color w:val="000000"/>
          <w:sz w:val="24"/>
        </w:rPr>
        <w:t>High-performance clinical analytics requires strict adherence to data provenance, ingestion integrity, and patient privacy standards. In tertiary hospital environments, clinical information is distributed across heterogeneous, uncoordinated transactional engines: Admission-Discharge-Transfer (ADT) registration modules, Electronic Health Record (EHR) progress notes, Laboratory Information Systems (LIS), automated pharmacy dispensing cabinets (e.g., Pyxis), and medical billing claims clearinghouses. This structural fragmentation presents substantial data engineering challenges: asynchronous timestamps, varied coding standards, and missing clinical parameters. To construct an authoritative analytical cohort capable of predicting 30-day readmission risk and evaluating length of stay (ALOS), data must be ingested through controlled extraction pipelines enforcing transactional audit logging, schema validation, and complete HIPAA Safe Harbor de-identification across 10,000 inpatient encounters.</w:t>
      </w:r>
    </w:p>
    <w:tbl>
      <w:tblPr>
        <w:tblW w:type="auto" w:w="0"/>
        <w:jc w:val="center"/>
        <w:tblLook w:firstColumn="1" w:firstRow="1" w:lastColumn="0" w:lastRow="0" w:noHBand="0" w:noVBand="1" w:val="04A0"/>
      </w:tblPr>
      <w:tblGrid>
        <w:gridCol w:w="9792"/>
      </w:tblGrid>
      <w:tr>
        <w:trPr>
          <w:cantSplit/>
        </w:trPr>
        <w:tc>
          <w:tcPr>
            <w:tcW w:type="dxa" w:w="9792"/>
            <w:shd w:fill="FFFFFF"/>
            <w:tcMar>
              <w:top w:w="140" w:type="dxa"/>
              <w:bottom w:w="140" w:type="dxa"/>
              <w:left w:w="180" w:type="dxa"/>
              <w:right w:w="180" w:type="dxa"/>
            </w:tcMar>
            <w:tcBorders>
              <w:top w:val="single" w:sz="6" w:space="0" w:color="000000"/>
              <w:left w:val="single" w:sz="36" w:space="0" w:color="000000"/>
              <w:bottom w:val="single" w:sz="6" w:space="0" w:color="000000"/>
              <w:right w:val="single" w:sz="6" w:space="0" w:color="000000"/>
            </w:tcBorders>
          </w:tcPr>
          <w:p>
            <w:pPr>
              <w:spacing w:before="60" w:after="60" w:line="276" w:lineRule="auto"/>
            </w:pPr>
            <w:r>
              <w:rPr>
                <w:rFonts w:ascii="Times New Roman" w:hAnsi="Times New Roman"/>
                <w:b/>
                <w:color w:val="000000"/>
                <w:sz w:val="25"/>
              </w:rPr>
              <w:t>CLINICAL DATA PROVENANCE MANDATE</w:t>
              <w:br/>
            </w:r>
            <w:r>
              <w:rPr>
                <w:rFonts w:ascii="Times New Roman" w:hAnsi="Times New Roman"/>
                <w:color w:val="000000"/>
                <w:sz w:val="24"/>
              </w:rPr>
              <w:t>Clinical data quality directly dictates model generalizability. Feeding unvalidated laboratory measurements or conflicting admission timestamps into predictive models introduces severe clinical bias, leading to inaccurate risk scores that can mislead care transition teams and compromise patient safety.</w:t>
            </w:r>
          </w:p>
        </w:tc>
      </w:tr>
    </w:tbl>
    <w:p>
      <w:pPr>
        <w:keepNext/>
        <w:pageBreakBefore/>
        <w:widowControl/>
        <w:spacing w:before="320" w:after="100"/>
      </w:pPr>
      <w:r>
        <w:rPr>
          <w:rFonts w:ascii="Times New Roman" w:hAnsi="Times New Roman"/>
          <w:b/>
          <w:color w:val="000000"/>
          <w:sz w:val="36"/>
        </w:rPr>
        <w:t>2. Public Healthcare Repositories &amp; Benchmark Datasets</w:t>
      </w:r>
    </w:p>
    <w:p>
      <w:pPr>
        <w:keepNext/>
        <w:widowControl/>
        <w:spacing w:before="0" w:after="100" w:line="276" w:lineRule="auto"/>
      </w:pPr>
      <w:r>
        <w:rPr>
          <w:rFonts w:ascii="Times New Roman" w:hAnsi="Times New Roman"/>
          <w:color w:val="000000"/>
          <w:sz w:val="24"/>
        </w:rPr>
        <w:t>To establish realistic baseline distributions and validate operational logic prior to live clinical integration, five prominent open-access and research healthcare databases were evaluated against our clinical and regulatory criteria:</w:t>
      </w:r>
    </w:p>
    <w:tbl>
      <w:tblPr>
        <w:tblW w:type="auto" w:w="0"/>
        <w:jc w:val="center"/>
        <w:tblLook w:firstColumn="1" w:firstRow="1" w:lastColumn="0" w:lastRow="0" w:noHBand="0" w:noVBand="1" w:val="04A0"/>
      </w:tblPr>
      <w:tblGrid>
        <w:gridCol w:w="1958"/>
        <w:gridCol w:w="1958"/>
        <w:gridCol w:w="1958"/>
        <w:gridCol w:w="1958"/>
        <w:gridCol w:w="1958"/>
      </w:tblGrid>
      <w:tr>
        <w:trPr>
          <w:tblHeader/>
          <w:cantSplit/>
        </w:trPr>
        <w:tc>
          <w:tcPr>
            <w:tcW w:type="dxa" w:w="187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Repository Name</w:t>
            </w:r>
          </w:p>
        </w:tc>
        <w:tc>
          <w:tcPr>
            <w:tcW w:type="dxa" w:w="201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Sponsoring Institution</w:t>
            </w:r>
          </w:p>
        </w:tc>
        <w:tc>
          <w:tcPr>
            <w:tcW w:type="dxa" w:w="2160"/>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Data Modality &amp; Granularity</w:t>
            </w:r>
          </w:p>
        </w:tc>
        <w:tc>
          <w:tcPr>
            <w:tcW w:type="dxa" w:w="201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Key Strengths</w:t>
            </w:r>
          </w:p>
        </w:tc>
        <w:tc>
          <w:tcPr>
            <w:tcW w:type="dxa" w:w="1728"/>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Operational Limitations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MIMIC-IV (v2.2)</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MIT Lab / Beth Israel</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De-identified ICU &amp; emergency; hourly vitals, labs, medications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High-resolution physiological time-series; clinical benchmark</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ICU-skewed acuity; high compute footprint</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CMS Inpatient Quality</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CMS Quality Division</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Hospital-level 30-day readmissions, mortality rates, payments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Authoritative regulatory standard; direct link to HRRP penalties</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Aggregated facility-level; lacks encounter vitals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CDC NHANES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NCHS / CDC Archive</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Continuous population health surveys, dietary logs, chronic conditions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Broad demographic coverage; rich chronic disease baseline</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Outpatient survey focus; lacks acute inpatient stays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HCUP NIS Archive</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AHRQ Healthcare Archive</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Stratified 20% sample of US discharges; ICD-10 claims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Massive statistical power; national inpatient hospitalization benchmarks</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Billing claims only; lacks lab biomarker trends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PhysioNet Challenges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PhysioNet Research Community</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Curated challenge sets (Sepsis-3, Acute Kidney Injury, Mortality)</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Exact clinical event timestamps; rigorous benchmark evaluation</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Restricted to narrow physiological syndromes</w:t>
            </w:r>
          </w:p>
        </w:tc>
      </w:tr>
    </w:tbl>
    <w:p>
      <w:pPr>
        <w:keepNext/>
        <w:pageBreakBefore/>
        <w:widowControl/>
        <w:spacing w:before="320" w:after="100"/>
      </w:pPr>
      <w:r>
        <w:rPr>
          <w:rFonts w:ascii="Times New Roman" w:hAnsi="Times New Roman"/>
          <w:b/>
          <w:color w:val="000000"/>
          <w:sz w:val="36"/>
        </w:rPr>
        <w:t>3. Inpatient Cohort Selection, Dimensional Schema &amp; Data Dictionary</w:t>
      </w:r>
    </w:p>
    <w:p>
      <w:pPr>
        <w:keepNext/>
        <w:widowControl/>
        <w:spacing w:before="0" w:after="100" w:line="276" w:lineRule="auto"/>
      </w:pPr>
      <w:r>
        <w:rPr>
          <w:rFonts w:ascii="Times New Roman" w:hAnsi="Times New Roman"/>
          <w:color w:val="000000"/>
          <w:sz w:val="24"/>
        </w:rPr>
        <w:t>Based on CMS Hospital Readmissions Reduction Program (HRRP) high-priority conditions, our target analytical cohort is structured around 10,000 adult inpatient encounters admitted between January 2024 and December 2024. The cohort captures complex chronic illness trajectories across five key diagnostic categories: Congestive Heart Failure (CHF), Acute Myocardial Infarction (AMI), Type 2 Diabetes with Complications, Community-Acquired Pneumonia, and Severe Inpatient Sepsis. The relational schema integrates 12 primary clinical, demographic, pharmacological, and operational attributes:</w:t>
      </w:r>
    </w:p>
    <w:tbl>
      <w:tblPr>
        <w:tblW w:type="auto" w:w="0"/>
        <w:jc w:val="center"/>
        <w:tblLook w:firstColumn="1" w:firstRow="1" w:lastColumn="0" w:lastRow="0" w:noHBand="0" w:noVBand="1" w:val="04A0"/>
      </w:tblPr>
      <w:tblGrid>
        <w:gridCol w:w="1958"/>
        <w:gridCol w:w="1958"/>
        <w:gridCol w:w="1958"/>
        <w:gridCol w:w="1958"/>
        <w:gridCol w:w="1958"/>
      </w:tblGrid>
      <w:tr>
        <w:trPr>
          <w:tblHeader/>
          <w:cantSplit/>
        </w:trPr>
        <w:tc>
          <w:tcPr>
            <w:tcW w:type="dxa" w:w="201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Feature Attribute</w:t>
            </w:r>
          </w:p>
        </w:tc>
        <w:tc>
          <w:tcPr>
            <w:tcW w:type="dxa" w:w="1584"/>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Data Type</w:t>
            </w:r>
          </w:p>
        </w:tc>
        <w:tc>
          <w:tcPr>
            <w:tcW w:type="dxa" w:w="187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Standard Medical Nomenclature</w:t>
            </w:r>
          </w:p>
        </w:tc>
        <w:tc>
          <w:tcPr>
            <w:tcW w:type="dxa" w:w="259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Clinical Rationale &amp; Description</w:t>
            </w:r>
          </w:p>
        </w:tc>
        <w:tc>
          <w:tcPr>
            <w:tcW w:type="dxa" w:w="1728"/>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Plausible Biological Bounds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patient_id</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String (SHA-256)</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Internal De-Identified ID</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Cryptographically salted patient surrogate key</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64-char hexadecimal hash</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age</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Demographic Age</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Patient age at admission (stratified risk tier)</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18 to 95 years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gender</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Categorical</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HL7 Administrative Sex</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Biological sex recorded at encounter registration</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Values: 'Male', 'Female'</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admission_type</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Categorical</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CMS UB-04 Form</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Acuity of admission intake (Emergency, Elective, Urgent)</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Values: 'Emergency', 'Elective', 'Urgent'</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length_of_stay_days</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Inpatient Days Count</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Inpatient duration from admission to formal discharge</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1 to 30 days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charlson_comorbidity_count</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Charlson Comorbidity Index</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Quantified weighted comorbidity burden (0-12 scale)</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0 to 12 points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prior_inpatient_admissions_12m</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Historical Utilization</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Acute hospital admissions in trailing 365 days</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0 to 10 admissions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prescribed_medication_count</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RxNorm Dispensing Count</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Active distinct medications at discharge (polypharmacy)</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1 to 28 medications</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hba1c_level</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Float</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LOINC 4548-4</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Glycated hemoglobin glycemic control blood test</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4.5% to 15.0%</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serum_creatinine_mg_dl</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Float</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LOINC 2160-0</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Renal function metabolic biomarker</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0.4 to 12.0 mg/dL</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systolic_blood_pressure</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Integer</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LOINC 8480-6</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Resting systolic arterial blood pressure</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Bounded: 70 to 230 mmHg</w:t>
            </w:r>
          </w:p>
        </w:tc>
      </w:tr>
      <w:tr>
        <w:trPr>
          <w:cantSplit/>
        </w:trPr>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readmitted_30d</w:t>
            </w:r>
          </w:p>
        </w:tc>
        <w:tc>
          <w:tcPr>
            <w:tcW w:type="dxa" w:w="158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Binary (0/1)</w:t>
            </w:r>
          </w:p>
        </w:tc>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CMS HRRP Metric</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Unplanned acute inpatient readmission within 30 days</w:t>
            </w:r>
          </w:p>
        </w:tc>
        <w:tc>
          <w:tcPr>
            <w:tcW w:type="dxa" w:w="1728"/>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Values: 0 (No), 1 (Yes)</w:t>
            </w:r>
          </w:p>
        </w:tc>
      </w:tr>
    </w:tbl>
    <w:p>
      <w:pPr>
        <w:keepNext/>
        <w:pageBreakBefore/>
        <w:widowControl/>
        <w:spacing w:before="320" w:after="100"/>
      </w:pPr>
      <w:r>
        <w:rPr>
          <w:rFonts w:ascii="Times New Roman" w:hAnsi="Times New Roman"/>
          <w:b/>
          <w:color w:val="000000"/>
          <w:sz w:val="36"/>
        </w:rPr>
        <w:t>4. Kahn Harmonized Healthcare Data Quality Framework</w:t>
      </w:r>
    </w:p>
    <w:p>
      <w:pPr>
        <w:keepNext/>
        <w:widowControl/>
        <w:spacing w:before="0" w:after="100" w:line="276" w:lineRule="auto"/>
      </w:pPr>
      <w:r>
        <w:rPr>
          <w:rFonts w:ascii="Times New Roman" w:hAnsi="Times New Roman"/>
          <w:color w:val="000000"/>
          <w:sz w:val="24"/>
        </w:rPr>
        <w:t>Healthcare data is prone to recording noise, documentation omissions, and system integration dropouts. To guarantee technical and clinical validity, we adopt the Kahn Harmonized Data Quality Framework (Kahn et al., 2016), evaluating our clinical pipeline across four rigorous dimensions:</w:t>
      </w:r>
    </w:p>
    <w:tbl>
      <w:tblPr>
        <w:tblW w:type="auto" w:w="0"/>
        <w:jc w:val="center"/>
        <w:tblLook w:firstColumn="1" w:firstRow="1" w:lastColumn="0" w:lastRow="0" w:noHBand="0" w:noVBand="1" w:val="04A0"/>
      </w:tblPr>
      <w:tblGrid>
        <w:gridCol w:w="2448"/>
        <w:gridCol w:w="2448"/>
        <w:gridCol w:w="2448"/>
        <w:gridCol w:w="2448"/>
      </w:tblGrid>
      <w:tr>
        <w:trPr>
          <w:tblHeader/>
          <w:cantSplit/>
        </w:trPr>
        <w:tc>
          <w:tcPr>
            <w:tcW w:type="dxa" w:w="187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Kahn Quality Dimension</w:t>
            </w:r>
          </w:p>
        </w:tc>
        <w:tc>
          <w:tcPr>
            <w:tcW w:type="dxa" w:w="259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Operational Definition in Clinical Pipeline</w:t>
            </w:r>
          </w:p>
        </w:tc>
        <w:tc>
          <w:tcPr>
            <w:tcW w:type="dxa" w:w="273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Verification Protocol &amp; Algorithmic Rule</w:t>
            </w:r>
          </w:p>
        </w:tc>
        <w:tc>
          <w:tcPr>
            <w:tcW w:type="dxa" w:w="2592"/>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Remediation Action if Threshold Failed</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Completeness</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Assessment of missing data values across all required encounter attributes.</w:t>
            </w:r>
          </w:p>
        </w:tc>
        <w:tc>
          <w:tcPr>
            <w:tcW w:type="dxa" w:w="273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Flag columns exceeding 5% missingness. Mandatory 100% presence for patient_id, dates, and readmitted_30d.</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Impute continuous lab features via KNN; reject encounters missing primary outcome or admission type.</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Conformance</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Adherence of clinical attributes to medical terminologies and data models.</w:t>
            </w:r>
          </w:p>
        </w:tc>
        <w:tc>
          <w:tcPr>
            <w:tcW w:type="dxa" w:w="273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Verify diagnoses map to ICD-10-CM, lab tests to LOINC codes, and values conform to target data types.</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Automated translation lookups; reject unmapped non-standard clinical free-text strings.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Plausibility</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Biological, physical, and medical plausibility of clinical values.</w:t>
            </w:r>
          </w:p>
        </w:tc>
        <w:tc>
          <w:tcPr>
            <w:tcW w:type="dxa" w:w="273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Cross-reference observations against physiological limits (e.g., serum creatinine between 0.4 and 12.0 mg/dL).</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Truncate extreme sensor artifacts using clinical Winsorization at the 1st and 99th percentiles.</w:t>
            </w:r>
          </w:p>
        </w:tc>
      </w:tr>
      <w:tr>
        <w:trPr>
          <w:cantSplit/>
        </w:trPr>
        <w:tc>
          <w:tcPr>
            <w:tcW w:type="dxa" w:w="187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Temporal Consistency</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Logical sequential ordering of clinical events throughout the patient stay.</w:t>
            </w:r>
          </w:p>
        </w:tc>
        <w:tc>
          <w:tcPr>
            <w:tcW w:type="dxa" w:w="273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Ensure Admission Date &lt;= Lab Order Date &lt;= Specimen Result Date &lt;= Discharge Date &lt;= Readmission Date.</w:t>
            </w:r>
          </w:p>
        </w:tc>
        <w:tc>
          <w:tcPr>
            <w:tcW w:type="dxa" w:w="2592"/>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Quarantine out-of-order records for clinical audit review; drop corrupted encounter sequences.</w:t>
            </w:r>
          </w:p>
        </w:tc>
      </w:tr>
    </w:tbl>
    <w:p>
      <w:pPr>
        <w:keepNext/>
        <w:widowControl/>
        <w:spacing w:before="320" w:after="100"/>
      </w:pPr>
      <w:r>
        <w:rPr>
          <w:rFonts w:ascii="Times New Roman" w:hAnsi="Times New Roman"/>
          <w:b/>
          <w:color w:val="000000"/>
          <w:sz w:val="36"/>
        </w:rPr>
        <w:t>5. Cleansing, Imputation &amp; Harmonization Methodology</w:t>
      </w:r>
    </w:p>
    <w:p>
      <w:pPr>
        <w:keepNext/>
        <w:widowControl/>
        <w:spacing w:before="0" w:after="100" w:line="276" w:lineRule="auto"/>
      </w:pPr>
      <w:r>
        <w:rPr>
          <w:rFonts w:ascii="Times New Roman" w:hAnsi="Times New Roman"/>
          <w:color w:val="000000"/>
          <w:sz w:val="24"/>
        </w:rPr>
        <w:t>The automated Python cleansing pipeline processes raw multi-source extracts through four sequential transformation stages: de-duplication, range filtering, statistical imputation, and categorical standardization.</w:t>
      </w:r>
    </w:p>
    <w:p>
      <w:pPr>
        <w:pStyle w:val="ListBullet"/>
        <w:keepNext/>
        <w:spacing w:after="60" w:line="276" w:lineRule="auto"/>
      </w:pPr>
      <w:r>
        <w:rPr>
          <w:rFonts w:ascii="Times New Roman" w:hAnsi="Times New Roman"/>
          <w:b/>
          <w:color w:val="000000"/>
          <w:sz w:val="24"/>
        </w:rPr>
        <w:t xml:space="preserve">1. Deduplication and Encounter Linking: </w:t>
      </w:r>
      <w:r>
        <w:rPr>
          <w:rFonts w:ascii="Times New Roman" w:hAnsi="Times New Roman"/>
          <w:color w:val="000000"/>
          <w:sz w:val="24"/>
        </w:rPr>
        <w:t>Resolve duplicate encounter extracts caused by re-transmissions from ADT engines. Retain the most comprehensive clinical snapshot by matching on salted patient_id and admission timestamps.</w:t>
      </w:r>
    </w:p>
    <w:p>
      <w:pPr>
        <w:pStyle w:val="ListBullet"/>
        <w:keepNext/>
        <w:spacing w:after="60" w:line="276" w:lineRule="auto"/>
      </w:pPr>
      <w:r>
        <w:rPr>
          <w:rFonts w:ascii="Times New Roman" w:hAnsi="Times New Roman"/>
          <w:b/>
          <w:color w:val="000000"/>
          <w:sz w:val="24"/>
        </w:rPr>
        <w:t xml:space="preserve">2. Handling Clinical Lab Missingness: </w:t>
      </w:r>
      <w:r>
        <w:rPr>
          <w:rFonts w:ascii="Times New Roman" w:hAnsi="Times New Roman"/>
          <w:color w:val="000000"/>
          <w:sz w:val="24"/>
        </w:rPr>
        <w:t>Elective patients without acute renal symptoms often lack recorded serum creatinine tests. Naive mean imputation introduces artificial spikes in variance. We apply K-Nearest Neighbors (KNN, k=5) imputation conditioned on patient age, primary diagnosis, and Charlson comorbidity score.</w:t>
      </w:r>
    </w:p>
    <w:p>
      <w:pPr>
        <w:pStyle w:val="ListBullet"/>
        <w:keepNext/>
        <w:spacing w:after="60" w:line="276" w:lineRule="auto"/>
      </w:pPr>
      <w:r>
        <w:rPr>
          <w:rFonts w:ascii="Times New Roman" w:hAnsi="Times New Roman"/>
          <w:b/>
          <w:color w:val="000000"/>
          <w:sz w:val="24"/>
        </w:rPr>
        <w:t xml:space="preserve">3. Outlier Management via Clinical Winsorization: </w:t>
      </w:r>
      <w:r>
        <w:rPr>
          <w:rFonts w:ascii="Times New Roman" w:hAnsi="Times New Roman"/>
          <w:color w:val="000000"/>
          <w:sz w:val="24"/>
        </w:rPr>
        <w:t>Severe physiological readings (such as systolic blood pressure &gt; 230 mmHg or &lt; 70 mmHg) represent acute crises or sensor detachment. Values beyond physiological survivability are capped at the 1st and 99th percentiles rather than discarded, preserving high-acuity risk signals.</w:t>
      </w:r>
    </w:p>
    <w:p>
      <w:pPr>
        <w:keepNext/>
        <w:widowControl/>
        <w:spacing w:before="240" w:after="80"/>
      </w:pPr>
      <w:r>
        <w:rPr>
          <w:rFonts w:ascii="Times New Roman" w:hAnsi="Times New Roman"/>
          <w:b/>
          <w:color w:val="000000"/>
          <w:sz w:val="32"/>
        </w:rPr>
        <w:t>5.2 Data Ingestion &amp; Quality Cleaning Pipeline Implementation</w:t>
      </w:r>
    </w:p>
    <w:p>
      <w:pPr>
        <w:keepNext/>
        <w:widowControl/>
        <w:spacing w:before="0" w:after="100" w:line="276" w:lineRule="auto"/>
      </w:pPr>
      <w:r>
        <w:rPr>
          <w:rFonts w:ascii="Times New Roman" w:hAnsi="Times New Roman"/>
          <w:color w:val="000000"/>
          <w:sz w:val="24"/>
        </w:rPr>
        <w:t>The core data engineering script executes reproducible schema validation, missingness handling, and clinical de-identification:</w:t>
      </w:r>
    </w:p>
    <w:tbl>
      <w:tblPr>
        <w:tblW w:type="auto" w:w="0"/>
        <w:jc w:val="center"/>
        <w:tblLook w:firstColumn="1" w:firstRow="1" w:lastColumn="0" w:lastRow="0" w:noHBand="0" w:noVBand="1" w:val="04A0"/>
      </w:tblPr>
      <w:tblGrid>
        <w:gridCol w:w="9792"/>
      </w:tblGrid>
      <w:tr>
        <w:trPr>
          <w:cantSplit/>
        </w:trPr>
        <w:tc>
          <w:tcPr>
            <w:tcW w:type="dxa" w:w="9792"/>
            <w:shd w:fill="FFFFFF"/>
            <w:tcMar>
              <w:top w:w="130" w:type="dxa"/>
              <w:bottom w:w="130" w:type="dxa"/>
              <w:left w:w="160" w:type="dxa"/>
              <w:right w:w="160" w:type="dxa"/>
            </w:tcMar>
            <w:tcBorders>
              <w:top w:val="single" w:sz="6" w:space="0" w:color="000000"/>
              <w:left w:val="single" w:sz="24" w:space="0" w:color="000000"/>
              <w:bottom w:val="single" w:sz="6" w:space="0" w:color="000000"/>
              <w:right w:val="single" w:sz="6" w:space="0" w:color="000000"/>
            </w:tcBorders>
          </w:tcPr>
          <w:p>
            <w:pPr>
              <w:spacing w:before="60" w:after="60" w:line="276" w:lineRule="auto"/>
            </w:pPr>
            <w:r>
              <w:rPr>
                <w:rFonts w:ascii="Times New Roman" w:hAnsi="Times New Roman"/>
                <w:b/>
                <w:color w:val="000000"/>
                <w:sz w:val="24"/>
              </w:rPr>
              <w:t># Code Implementation: Python / Pandas / Scikit-Learn</w:t>
              <w:br/>
            </w:r>
            <w:r>
              <w:rPr>
                <w:rFonts w:ascii="Times New Roman" w:hAnsi="Times New Roman"/>
                <w:color w:val="000000"/>
                <w:sz w:val="24"/>
              </w:rPr>
              <w:t>import pandas as pd</w:t>
              <w:br/>
              <w:t>import numpy as np</w:t>
              <w:br/>
              <w:t>from sklearn.impute import KNNImputer</w:t>
              <w:br/>
              <w:br/>
              <w:t>def clean_clinical_cohort(raw_df):</w:t>
              <w:br/>
              <w:t xml:space="preserve">    df = raw_df.copy()</w:t>
              <w:br/>
              <w:t xml:space="preserve">    # 1. Conformance: Enforce strict data types</w:t>
              <w:br/>
              <w:t xml:space="preserve">    df['age'] = pd.to_numeric(df['age'], errors='coerce')</w:t>
              <w:br/>
              <w:t xml:space="preserve">    df['length_of_stay_days'] = pd.to_numeric(df['length_of_stay_days'], errors='coerce')</w:t>
              <w:br/>
              <w:t xml:space="preserve">    </w:t>
              <w:br/>
              <w:t xml:space="preserve">    # 2. Plausibility: Filter extreme physiological artifacts</w:t>
              <w:br/>
              <w:t xml:space="preserve">    df = df[(df['age'] &gt;= 18) &amp; (df['age'] &lt;= 95)]</w:t>
              <w:br/>
              <w:t xml:space="preserve">    df = df[(df['length_of_stay_days'] &gt;= 1) &amp; (df['length_of_stay_days'] &lt;= 30)]</w:t>
              <w:br/>
              <w:t xml:space="preserve">    </w:t>
              <w:br/>
              <w:t xml:space="preserve">    # 3. Winsorize continuous laboratory markers</w:t>
              <w:br/>
              <w:t xml:space="preserve">    for col in ['serum_creatinine_mg_dl', 'systolic_blood_pressure']:</w:t>
              <w:br/>
              <w:t xml:space="preserve">        p1, p99 = np.percentile(df[col].dropna(), [1, 99])</w:t>
              <w:br/>
              <w:t xml:space="preserve">        df[col] = np.clip(df[col], p1, p99)</w:t>
              <w:br/>
              <w:t xml:space="preserve">        </w:t>
              <w:br/>
              <w:t xml:space="preserve">    # 4. Clinically conditioned KNN imputation for missing labs</w:t>
              <w:br/>
              <w:t xml:space="preserve">    impute_cols = ['age', 'charlson_comorbidity_count', 'serum_creatinine_mg_dl', 'hba1c_level']</w:t>
              <w:br/>
              <w:t xml:space="preserve">    imputer = KNNImputer(n_neighbors=5)</w:t>
              <w:br/>
              <w:t xml:space="preserve">    df[impute_cols] = imputer.fit_transform(df[impute_cols])</w:t>
              <w:br/>
              <w:t xml:space="preserve">    </w:t>
              <w:br/>
              <w:t xml:space="preserve">    return df</w:t>
            </w:r>
          </w:p>
        </w:tc>
      </w:tr>
    </w:tbl>
    <w:p>
      <w:pPr>
        <w:keepNext/>
        <w:widowControl/>
        <w:spacing w:before="320" w:after="100"/>
      </w:pPr>
      <w:r>
        <w:rPr>
          <w:rFonts w:ascii="Times New Roman" w:hAnsi="Times New Roman"/>
          <w:b/>
          <w:color w:val="000000"/>
          <w:sz w:val="36"/>
        </w:rPr>
        <w:t>6. Regulatory Compliance, HIPAA Safe Harbor &amp; Ethical AI Governance</w:t>
      </w:r>
    </w:p>
    <w:p>
      <w:pPr>
        <w:keepNext/>
        <w:widowControl/>
        <w:spacing w:before="0" w:after="100" w:line="276" w:lineRule="auto"/>
      </w:pPr>
      <w:r>
        <w:rPr>
          <w:rFonts w:ascii="Times New Roman" w:hAnsi="Times New Roman"/>
          <w:color w:val="000000"/>
          <w:sz w:val="24"/>
        </w:rPr>
        <w:t>Because healthcare datasets contain Protected Health Information (PHI), data engineering pipelines must operate within the strict legal boundaries established by the Health Insurance Portability and Accountability Act (HIPAA) Privacy Rule and the European General Data Protection Regulation (GDPR).</w:t>
      </w:r>
    </w:p>
    <w:p>
      <w:pPr>
        <w:pStyle w:val="ListBullet"/>
        <w:keepNext/>
        <w:spacing w:after="60" w:line="276" w:lineRule="auto"/>
      </w:pPr>
      <w:r>
        <w:rPr>
          <w:rFonts w:ascii="Times New Roman" w:hAnsi="Times New Roman"/>
          <w:b/>
          <w:color w:val="000000"/>
          <w:sz w:val="24"/>
        </w:rPr>
        <w:t xml:space="preserve">HIPAA Safe Harbor De-Identification: </w:t>
      </w:r>
      <w:r>
        <w:rPr>
          <w:rFonts w:ascii="Times New Roman" w:hAnsi="Times New Roman"/>
          <w:color w:val="000000"/>
          <w:sz w:val="24"/>
        </w:rPr>
        <w:t>All 18 designated direct personal identifiers—including patient legal names, home addresses, phone numbers, email addresses, social security numbers, medical record numbers (MRN), and account numbers—are permanently expunged prior to ingestion into the analytical warehouse.</w:t>
      </w:r>
    </w:p>
    <w:p>
      <w:pPr>
        <w:pStyle w:val="ListBullet"/>
        <w:keepNext/>
        <w:spacing w:after="60" w:line="276" w:lineRule="auto"/>
      </w:pPr>
      <w:r>
        <w:rPr>
          <w:rFonts w:ascii="Times New Roman" w:hAnsi="Times New Roman"/>
          <w:b/>
          <w:color w:val="000000"/>
          <w:sz w:val="24"/>
        </w:rPr>
        <w:t xml:space="preserve">Pseudonymization &amp; Cryptographic Salting: </w:t>
      </w:r>
      <w:r>
        <w:rPr>
          <w:rFonts w:ascii="Times New Roman" w:hAnsi="Times New Roman"/>
          <w:color w:val="000000"/>
          <w:sz w:val="24"/>
        </w:rPr>
        <w:t>Patient identifiers are replaced with irreversible SHA-256 hashes combined with an enterprise secret cryptographic salt. This enables longitudinal encounter linkage for repeat admissions while ensuring that unauthorized internal or external parties cannot reverse-engineer patient identities.</w:t>
      </w:r>
    </w:p>
    <w:p>
      <w:pPr>
        <w:pStyle w:val="ListBullet"/>
        <w:keepNext/>
        <w:spacing w:after="60" w:line="276" w:lineRule="auto"/>
      </w:pPr>
      <w:r>
        <w:rPr>
          <w:rFonts w:ascii="Times New Roman" w:hAnsi="Times New Roman"/>
          <w:b/>
          <w:color w:val="000000"/>
          <w:sz w:val="24"/>
        </w:rPr>
        <w:t xml:space="preserve">Algorithmic Demographic Parity &amp; Fairness: </w:t>
      </w:r>
      <w:r>
        <w:rPr>
          <w:rFonts w:ascii="Times New Roman" w:hAnsi="Times New Roman"/>
          <w:color w:val="000000"/>
          <w:sz w:val="24"/>
        </w:rPr>
        <w:t>Prior to model training, the cleaned cohort undergoes a demographic representation audit. Missingness distributions and readmission rates are stratified across biological sex and age brackets (18-44, 45-64, 65-79, 80+) to verify that data cleansing routines do not introduce systematic bias against elderly or vulnerable populations.</w:t>
      </w:r>
    </w:p>
    <w:p>
      <w:pPr>
        <w:keepNext/>
        <w:widowControl/>
        <w:spacing w:before="320" w:after="100"/>
      </w:pPr>
      <w:r>
        <w:rPr>
          <w:rFonts w:ascii="Times New Roman" w:hAnsi="Times New Roman"/>
          <w:b/>
          <w:color w:val="000000"/>
          <w:sz w:val="36"/>
        </w:rPr>
        <w:t>7. Execution Roadmap, Quality Assurance Verification &amp; Sign-Off</w:t>
      </w:r>
    </w:p>
    <w:p>
      <w:pPr>
        <w:keepNext/>
        <w:widowControl/>
        <w:spacing w:before="0" w:after="100" w:line="276" w:lineRule="auto"/>
      </w:pPr>
      <w:r>
        <w:rPr>
          <w:rFonts w:ascii="Times New Roman" w:hAnsi="Times New Roman"/>
          <w:color w:val="000000"/>
          <w:sz w:val="24"/>
        </w:rPr>
        <w:t>The data collection and quality assurance phase concludes with a quantitative quality scorecard summarizing the post-cleansing validation audit across our 10,000-encounter cohort:</w:t>
      </w:r>
    </w:p>
    <w:tbl>
      <w:tblPr>
        <w:tblW w:type="auto" w:w="0"/>
        <w:jc w:val="center"/>
        <w:tblLook w:firstColumn="1" w:firstRow="1" w:lastColumn="0" w:lastRow="0" w:noHBand="0" w:noVBand="1" w:val="04A0"/>
      </w:tblPr>
      <w:tblGrid>
        <w:gridCol w:w="1958"/>
        <w:gridCol w:w="1958"/>
        <w:gridCol w:w="1958"/>
        <w:gridCol w:w="1958"/>
        <w:gridCol w:w="1958"/>
      </w:tblGrid>
      <w:tr>
        <w:trPr>
          <w:tblHeader/>
          <w:cantSplit/>
        </w:trPr>
        <w:tc>
          <w:tcPr>
            <w:tcW w:type="dxa" w:w="2304"/>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Audit Metric Category</w:t>
            </w:r>
          </w:p>
        </w:tc>
        <w:tc>
          <w:tcPr>
            <w:tcW w:type="dxa" w:w="201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Pre-Cleansing Raw Baseline</w:t>
            </w:r>
          </w:p>
        </w:tc>
        <w:tc>
          <w:tcPr>
            <w:tcW w:type="dxa" w:w="2160"/>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Post-Cleansing Clean Cohort</w:t>
            </w:r>
          </w:p>
        </w:tc>
        <w:tc>
          <w:tcPr>
            <w:tcW w:type="dxa" w:w="201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Quality Acceptance Threshold</w:t>
            </w:r>
          </w:p>
        </w:tc>
        <w:tc>
          <w:tcPr>
            <w:tcW w:type="dxa" w:w="1296"/>
            <w:shd w:fill="FFFFFF"/>
            <w:tcMar>
              <w:top w:w="120" w:type="dxa"/>
              <w:bottom w:w="120" w:type="dxa"/>
              <w:left w:w="130" w:type="dxa"/>
              <w:right w:w="130" w:type="dxa"/>
            </w:tcMar>
            <w:tcBorders>
              <w:top w:val="single" w:sz="12" w:space="0" w:color="000000"/>
              <w:left w:val="single" w:sz="6" w:space="0" w:color="000000"/>
              <w:bottom w:val="single" w:sz="16" w:space="0" w:color="000000"/>
              <w:right w:val="single" w:sz="6" w:space="0" w:color="000000"/>
            </w:tcBorders>
          </w:tcPr>
          <w:p>
            <w:pPr>
              <w:spacing w:after="0"/>
              <w:jc w:val="left"/>
            </w:pPr>
            <w:r>
              <w:rPr>
                <w:rFonts w:ascii="Times New Roman" w:hAnsi="Times New Roman"/>
                <w:b/>
                <w:color w:val="000000"/>
                <w:sz w:val="25"/>
              </w:rPr>
              <w:t>Audit Status</w:t>
            </w:r>
          </w:p>
        </w:tc>
      </w:tr>
      <w:tr>
        <w:trPr>
          <w:cantSplit/>
        </w:trPr>
        <w:tc>
          <w:tcPr>
            <w:tcW w:type="dxa" w:w="230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Total Valid Patient Encounters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10,248 raw rows</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10,000 verified encounters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&gt;= 9,500 encounters</w:t>
            </w:r>
          </w:p>
        </w:tc>
        <w:tc>
          <w:tcPr>
            <w:tcW w:type="dxa" w:w="129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Passed (100%)</w:t>
            </w:r>
          </w:p>
        </w:tc>
      </w:tr>
      <w:tr>
        <w:trPr>
          <w:cantSplit/>
        </w:trPr>
        <w:tc>
          <w:tcPr>
            <w:tcW w:type="dxa" w:w="230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Target Field Missingness (Outcome)</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0.42% unrecorded labels</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missing labels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tolerance</w:t>
            </w:r>
          </w:p>
        </w:tc>
        <w:tc>
          <w:tcPr>
            <w:tcW w:type="dxa" w:w="129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Passed (100%)</w:t>
            </w:r>
          </w:p>
        </w:tc>
      </w:tr>
      <w:tr>
        <w:trPr>
          <w:cantSplit/>
        </w:trPr>
        <w:tc>
          <w:tcPr>
            <w:tcW w:type="dxa" w:w="230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Laboratory Missingness (Creatinine)</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6.85% uncollected labs</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(KNN imputed)</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&lt; 1.00% post-imputation</w:t>
            </w:r>
          </w:p>
        </w:tc>
        <w:tc>
          <w:tcPr>
            <w:tcW w:type="dxa" w:w="129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Passed (100%)</w:t>
            </w:r>
          </w:p>
        </w:tc>
      </w:tr>
      <w:tr>
        <w:trPr>
          <w:cantSplit/>
        </w:trPr>
        <w:tc>
          <w:tcPr>
            <w:tcW w:type="dxa" w:w="230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Physiological Plausibility Violations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1.82% out-of-bounds readings</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(Winsorized)</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post-cleansing</w:t>
            </w:r>
          </w:p>
        </w:tc>
        <w:tc>
          <w:tcPr>
            <w:tcW w:type="dxa" w:w="129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Passed (100%)</w:t>
            </w:r>
          </w:p>
        </w:tc>
      </w:tr>
      <w:tr>
        <w:trPr>
          <w:cantSplit/>
        </w:trPr>
        <w:tc>
          <w:tcPr>
            <w:tcW w:type="dxa" w:w="2304"/>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HIPAA Identifier Verification</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100% raw MRN fields present</w:t>
            </w:r>
          </w:p>
        </w:tc>
        <w:tc>
          <w:tcPr>
            <w:tcW w:type="dxa" w:w="2160"/>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raw MRNs (Salted hashes)</w:t>
            </w:r>
          </w:p>
        </w:tc>
        <w:tc>
          <w:tcPr>
            <w:tcW w:type="dxa" w:w="201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0.00% direct PHI</w:t>
            </w:r>
          </w:p>
        </w:tc>
        <w:tc>
          <w:tcPr>
            <w:tcW w:type="dxa" w:w="1296"/>
            <w:shd w:fill="FFFFFF"/>
            <w:tcMar>
              <w:top w:w="100" w:type="dxa"/>
              <w:bottom w:w="100" w:type="dxa"/>
              <w:left w:w="130" w:type="dxa"/>
              <w:right w:w="130" w:type="dxa"/>
            </w:tcMar>
            <w:tcBorders>
              <w:top w:val="single" w:sz="6" w:space="0" w:color="000000"/>
              <w:left w:val="single" w:sz="6" w:space="0" w:color="000000"/>
              <w:bottom w:val="single" w:sz="6" w:space="0" w:color="000000"/>
              <w:right w:val="single" w:sz="6" w:space="0" w:color="000000"/>
            </w:tcBorders>
          </w:tcPr>
          <w:p>
            <w:pPr>
              <w:spacing w:after="0" w:line="276" w:lineRule="auto"/>
              <w:jc w:val="left"/>
            </w:pPr>
            <w:r>
              <w:rPr>
                <w:rFonts w:ascii="Times New Roman" w:hAnsi="Times New Roman"/>
                <w:color w:val="000000"/>
                <w:sz w:val="24"/>
              </w:rPr>
              <w:t>Passed (100%)</w:t>
            </w:r>
          </w:p>
        </w:tc>
      </w:tr>
    </w:tbl>
    <w:p>
      <w:pPr>
        <w:widowControl/>
        <w:spacing w:before="0" w:after="100" w:line="276" w:lineRule="auto"/>
      </w:pPr>
      <w:r>
        <w:rPr>
          <w:rFonts w:ascii="Times New Roman" w:hAnsi="Times New Roman"/>
          <w:color w:val="000000"/>
          <w:sz w:val="24"/>
        </w:rPr>
        <w:t>Conclusion &amp; Next Steps: The completion of this data acquisition and quality assurance protocol marks the successful delivery of Milestone 2. With a fully cleansed, biologically plausible, and HIPAA-compliant 10,000-patient inpatient dataset stored in the analytical feature repository, the project transitions into Week 3. In the subsequent phase, exploratory data analysis, clinical metric wireframing, and interactive frontline dashboard designs will be constructed to communicate clinical insights directly to hospital leadership.</w:t>
      </w:r>
    </w:p>
    <w:p>
      <w:pPr>
        <w:spacing w:before="280"/>
        <w:jc w:val="center"/>
      </w:pPr>
      <w:r>
        <w:rPr>
          <w:rFonts w:ascii="Times New Roman" w:hAnsi="Times New Roman"/>
          <w:i/>
          <w:color w:val="000000"/>
          <w:sz w:val="24"/>
        </w:rPr>
        <w:t>— End of Healthcare Data Collection and Quality Assurance Deliverable (Week 2) —</w:t>
        <w:br/>
        <w:t>Prepared by Ankit Kumar | Healthcare Data Analyst Intern</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24"/>
      </w:rPr>
      <w:t xml:space="preserve">Healthcare Data Analyst Intern | Page </w:t>
    </w:r>
    <w:r>
      <w:rPr>
        <w:rFonts w:ascii="Times New Roman" w:hAnsi="Times New Roman"/>
        <w:color w:val="000000"/>
        <w:sz w:val="24"/>
      </w:rPr>
      <w:fldChar w:fldCharType="begin"/>
      <w:instrText xml:space="preserve"> PAGE </w:instrText>
      <w:fldChar w:fldCharType="separate"/>
      <w:fldChar w:fldCharType="end"/>
    </w:r>
    <w:r>
      <w:rPr>
        <w:rFonts w:ascii="Times New Roman" w:hAnsi="Times New Roman"/>
        <w:color w:val="000000"/>
        <w:sz w:val="24"/>
      </w:rPr>
      <w:t xml:space="preserve"> of </w:t>
    </w:r>
    <w:r>
      <w:rPr>
        <w:rFonts w:ascii="Times New Roman" w:hAnsi="Times New Roman"/>
        <w:color w:val="000000"/>
        <w:sz w:val="24"/>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t>Week 2 Task: Data Collection and Quality Assurance Planning | Ankit Kumar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0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