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3</w:t>
      </w:r>
    </w:p>
    <w:p>
      <w:pPr>
        <w:keepNext/>
        <w:spacing w:before="40" w:after="80"/>
      </w:pPr>
      <w:r>
        <w:rPr>
          <w:rFonts w:ascii="Times New Roman" w:hAnsi="Times New Roman"/>
          <w:b/>
          <w:color w:val="000000"/>
          <w:sz w:val="40"/>
        </w:rPr>
        <w:t>Healthcare Data Visualization and Insights Communication</w:t>
      </w:r>
    </w:p>
    <w:p>
      <w:pPr>
        <w:keepNext/>
        <w:spacing w:after="120"/>
      </w:pPr>
      <w:r>
        <w:rPr>
          <w:rFonts w:ascii="Times New Roman" w:hAnsi="Times New Roman"/>
          <w:i/>
          <w:color w:val="000000"/>
          <w:sz w:val="26"/>
        </w:rPr>
        <w:t>Clinical Visual Analytics Strategy, Metric Wireframes, and Frontline Executive Dashboards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Healthcare Data Analyst Intern</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Clinical Visual Informatics &amp; BI</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3 Visual Blueprint (W3)</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Dashboard Modality: </w:t>
            </w:r>
            <w:r>
              <w:rPr>
                <w:rFonts w:ascii="Times New Roman" w:hAnsi="Times New Roman"/>
                <w:color w:val="000000"/>
                <w:sz w:val="26"/>
              </w:rPr>
              <w:t>Executive BI &amp; Frontline Clinical Decision Support</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Scope: </w:t>
            </w:r>
            <w:r>
              <w:rPr>
                <w:rFonts w:ascii="Times New Roman" w:hAnsi="Times New Roman"/>
                <w:color w:val="000000"/>
                <w:sz w:val="26"/>
              </w:rPr>
              <w:t>30 Hours Visual Analytics &amp; UI Architecture</w:t>
            </w:r>
          </w:p>
        </w:tc>
      </w:tr>
    </w:tbl>
    <w:p>
      <w:pPr>
        <w:spacing w:after="120"/>
      </w:pPr>
    </w:p>
    <w:p>
      <w:pPr>
        <w:keepNext/>
        <w:widowControl/>
        <w:spacing w:before="320" w:after="100"/>
      </w:pPr>
      <w:r>
        <w:rPr>
          <w:rFonts w:ascii="Times New Roman" w:hAnsi="Times New Roman"/>
          <w:b/>
          <w:color w:val="000000"/>
          <w:sz w:val="36"/>
        </w:rPr>
        <w:t>1. Executive Summary &amp; Clinical Visual Analytics Mandate</w:t>
      </w:r>
    </w:p>
    <w:p>
      <w:pPr>
        <w:widowControl/>
        <w:spacing w:before="0" w:after="100" w:line="276" w:lineRule="auto"/>
      </w:pPr>
      <w:r>
        <w:rPr>
          <w:rFonts w:ascii="Times New Roman" w:hAnsi="Times New Roman"/>
          <w:color w:val="000000"/>
          <w:sz w:val="24"/>
        </w:rPr>
        <w:t>Data visualization in healthcare bridges the critical cognitive divide between complex statistical machine learning models and high-stakes bedside clinical workflows. Physicians, nurse unit managers, and hospital executives operate in fast-paced, high-stress environments where tabular rows of numbers and abstract statistical coefficients fail to drive timely interventions. Grounded in Cleveland-McGill graphical perception theory and user-centered clinical interface design, this strategy establishes a unified visual analytics ecosystem translating 10,000 inpatient chronic disease encounters into clear, actionable decision-support tools. By combining executive performance scorecards, ward-level bed flow heatmaps, and patient-specific risk factor displays, this framework supports clinical teams in reducing 30-day readmissions, mitigating CMS HRRP financial penalties, and optimizing inpatient bed capacity.</w:t>
      </w:r>
    </w:p>
    <w:tbl>
      <w:tblPr>
        <w:tblW w:type="auto" w:w="0"/>
        <w:jc w:val="center"/>
        <w:tblLook w:firstColumn="1" w:firstRow="1" w:lastColumn="0" w:lastRow="0" w:noHBand="0" w:noVBand="1" w:val="04A0"/>
      </w:tblPr>
      <w:tblGrid>
        <w:gridCol w:w="9792"/>
      </w:tblGrid>
      <w:tr>
        <w:trPr>
          <w:cantSplit/>
        </w:trP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CLINICAL HUMAN-CENTERED DESIGN RULE</w:t>
              <w:br/>
            </w:r>
            <w:r>
              <w:rPr>
                <w:rFonts w:ascii="Times New Roman" w:hAnsi="Times New Roman"/>
                <w:color w:val="000000"/>
                <w:sz w:val="24"/>
              </w:rPr>
              <w:t>Clinical dashboards must prioritize visual clarity over aesthetic complexity. In acute clinical environments, visual encodings must deliver immediate situational awareness within 5 seconds: high-risk readmission alerts, primary physiological drivers, and pending bed bottlenecks must be immediately distinguishable without cognitive friction.</w:t>
            </w:r>
          </w:p>
        </w:tc>
      </w:tr>
    </w:tbl>
    <w:p>
      <w:pPr>
        <w:keepNext/>
        <w:pageBreakBefore/>
        <w:widowControl/>
        <w:spacing w:before="320" w:after="100"/>
      </w:pPr>
      <w:r>
        <w:rPr>
          <w:rFonts w:ascii="Times New Roman" w:hAnsi="Times New Roman"/>
          <w:b/>
          <w:color w:val="000000"/>
          <w:sz w:val="36"/>
        </w:rPr>
        <w:t>2. Key Healthcare Performance Indicators (KPIs)</w:t>
      </w:r>
    </w:p>
    <w:p>
      <w:pPr>
        <w:keepNext/>
        <w:widowControl/>
        <w:spacing w:before="0" w:after="100" w:line="276" w:lineRule="auto"/>
      </w:pPr>
      <w:r>
        <w:rPr>
          <w:rFonts w:ascii="Times New Roman" w:hAnsi="Times New Roman"/>
          <w:color w:val="000000"/>
          <w:sz w:val="24"/>
        </w:rPr>
        <w:t>Effective clinical communication requires prioritizing standardized healthcare KPIs that balance patient outcomes, operational efficiency, and financial regulatory compliance across clinical wards: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Metric Category</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Indicator</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Formula / Operational Definition</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Target Benchmark</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Clinical Significance</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Quality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All-Cause 30-Day Readmission Rate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30-day acute readmissions / Total live discharges) * 100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16.5%</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Core indicator of post-discharge care transition effectiveness.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Efficiency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Average Length of Stay (ALOS)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inpatient days / Total hospital discharges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5.0 Days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Reflects treatment efficiency and hospital bed asset productivity.</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Capacity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Occupancy Rate (BOR)</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occupied bed-days / Total available bed-days) * 100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82% - 86%</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Prevents clinical overcrowding while maximizing operating margins.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 Safety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In-Hospital Mortality Rate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(Inpatient deaths / Total inpatient admissions) * 100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1.8%</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Primary barometer of inpatient clinical care quality.</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Throughput</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ED Boarding Duration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Median time from admission decision to physical inpatient bed arrival</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120 Mins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Bottleneck indicator driving emergency divert protocols.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Continuity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7-Day Outpatient Follow-up Rate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 of high-risk discharged patients attending clinic within 7 days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&gt; 75.0%</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Primary preventative barrier against acute outpatient decompensation.</w:t>
            </w:r>
          </w:p>
        </w:tc>
      </w:tr>
    </w:tbl>
    <w:p>
      <w:pPr>
        <w:keepNext/>
        <w:widowControl/>
        <w:spacing w:before="320" w:after="100"/>
      </w:pPr>
      <w:r>
        <w:rPr>
          <w:rFonts w:ascii="Times New Roman" w:hAnsi="Times New Roman"/>
          <w:b/>
          <w:color w:val="000000"/>
          <w:sz w:val="36"/>
        </w:rPr>
        <w:t>3. Exploratory Data Analysis &amp; Bivariate Clinical Distributions</w:t>
      </w:r>
    </w:p>
    <w:p>
      <w:pPr>
        <w:keepNext/>
        <w:widowControl/>
        <w:spacing w:before="0" w:after="100" w:line="276" w:lineRule="auto"/>
      </w:pPr>
      <w:r>
        <w:rPr>
          <w:rFonts w:ascii="Times New Roman" w:hAnsi="Times New Roman"/>
          <w:color w:val="000000"/>
          <w:sz w:val="24"/>
        </w:rPr>
        <w:t>Statistical visualization of the 10,000-patient cleaned cohort reveals significant non-linear relationships between chronic disease burdens, laboratory biomarkers, and post-discharge readmission risk:</w:t>
      </w:r>
    </w:p>
    <w:p>
      <w:pPr>
        <w:pStyle w:val="ListBullet"/>
        <w:keepNext/>
        <w:spacing w:after="60" w:line="276" w:lineRule="auto"/>
      </w:pPr>
      <w:r>
        <w:rPr>
          <w:rFonts w:ascii="Times New Roman" w:hAnsi="Times New Roman"/>
          <w:b/>
          <w:color w:val="000000"/>
          <w:sz w:val="24"/>
        </w:rPr>
        <w:t xml:space="preserve">Charlson Comorbidity Burden vs Readmission Risk: </w:t>
      </w:r>
      <w:r>
        <w:rPr>
          <w:rFonts w:ascii="Times New Roman" w:hAnsi="Times New Roman"/>
          <w:color w:val="000000"/>
          <w:sz w:val="24"/>
        </w:rPr>
        <w:t>Encounter risk increases non-linearly with comorbidity score. Patients with a Charlson index &gt;= 4 exhibit a 32.4% 30-day readmission rate, compared to only 8.2% for patients with an index &lt;= 1, confirming comorbidity density as a primary stratification feature.</w:t>
      </w:r>
    </w:p>
    <w:p>
      <w:pPr>
        <w:pStyle w:val="ListBullet"/>
        <w:keepNext/>
        <w:spacing w:after="60" w:line="276" w:lineRule="auto"/>
      </w:pPr>
      <w:r>
        <w:rPr>
          <w:rFonts w:ascii="Times New Roman" w:hAnsi="Times New Roman"/>
          <w:b/>
          <w:color w:val="000000"/>
          <w:sz w:val="24"/>
        </w:rPr>
        <w:t xml:space="preserve">Length of Stay (ALOS) Across Chronic Cohorts: </w:t>
      </w:r>
      <w:r>
        <w:rPr>
          <w:rFonts w:ascii="Times New Roman" w:hAnsi="Times New Roman"/>
          <w:color w:val="000000"/>
          <w:sz w:val="24"/>
        </w:rPr>
        <w:t>Severe Inpatient Sepsis and Congestive Heart Failure demonstrate the highest median stays (6.8 days and 5.9 days respectively) with heavy positive skewness. Approximately 12.5% of sepsis admissions exceed 12 days, indicating severe clinical resource utilization.</w:t>
      </w:r>
    </w:p>
    <w:p>
      <w:pPr>
        <w:pStyle w:val="ListBullet"/>
        <w:keepNext/>
        <w:spacing w:after="60" w:line="276" w:lineRule="auto"/>
      </w:pPr>
      <w:r>
        <w:rPr>
          <w:rFonts w:ascii="Times New Roman" w:hAnsi="Times New Roman"/>
          <w:b/>
          <w:color w:val="000000"/>
          <w:sz w:val="24"/>
        </w:rPr>
        <w:t xml:space="preserve">Renal Function (Serum Creatinine) Interaction: </w:t>
      </w:r>
      <w:r>
        <w:rPr>
          <w:rFonts w:ascii="Times New Roman" w:hAnsi="Times New Roman"/>
          <w:color w:val="000000"/>
          <w:sz w:val="24"/>
        </w:rPr>
        <w:t>Serum creatinine values exceeding 2.2 mg/dL at discharge are associated with a 2.4-fold increase in 30-day readmission, highlighting the physiological vulnerability of acute cardiorenal patients.</w:t>
      </w:r>
    </w:p>
    <w:p>
      <w:pPr>
        <w:keepNext/>
        <w:pageBreakBefore/>
        <w:widowControl/>
        <w:spacing w:before="320" w:after="100"/>
      </w:pPr>
      <w:r>
        <w:rPr>
          <w:rFonts w:ascii="Times New Roman" w:hAnsi="Times New Roman"/>
          <w:b/>
          <w:color w:val="000000"/>
          <w:sz w:val="36"/>
        </w:rPr>
        <w:t>4. Interactive Dashboard Wireframes &amp; Information Architecture</w:t>
      </w:r>
    </w:p>
    <w:p>
      <w:pPr>
        <w:keepNext/>
        <w:widowControl/>
        <w:spacing w:before="0" w:after="100" w:line="276" w:lineRule="auto"/>
      </w:pPr>
      <w:r>
        <w:rPr>
          <w:rFonts w:ascii="Times New Roman" w:hAnsi="Times New Roman"/>
          <w:color w:val="000000"/>
          <w:sz w:val="24"/>
        </w:rPr>
        <w:t>To support diverse hospital stakeholders, a three-tiered dashboard information architecture was developed, spanning strategic executive oversight, departmental capacity management, and frontline bedside risk tracking.</w:t>
      </w:r>
    </w:p>
    <w:p>
      <w:pPr>
        <w:keepNext/>
        <w:widowControl/>
        <w:spacing w:before="240" w:after="80"/>
      </w:pPr>
      <w:r>
        <w:rPr>
          <w:rFonts w:ascii="Times New Roman" w:hAnsi="Times New Roman"/>
          <w:b/>
          <w:color w:val="000000"/>
          <w:sz w:val="32"/>
        </w:rPr>
        <w:t>4.1 Wireframe 1: Executive Hospital Quality &amp; HRRP Regulatory Tracker</w:t>
      </w:r>
    </w:p>
    <w:p>
      <w:pPr>
        <w:keepNext/>
        <w:widowControl/>
        <w:spacing w:before="0" w:after="100" w:line="276" w:lineRule="auto"/>
      </w:pPr>
      <w:r>
        <w:rPr>
          <w:rFonts w:ascii="Times New Roman" w:hAnsi="Times New Roman"/>
          <w:color w:val="000000"/>
          <w:sz w:val="24"/>
        </w:rPr>
        <w:t>Audience: Chief Medical Officer, Chief Financial Officer, Quality Committee. Focus: Enterprise readmission trends, financial penalty exposure, and disease-cohort benchmarks.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Dashboard Component</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Visual Element Type</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Data Feed</w:t>
            </w:r>
          </w:p>
        </w:tc>
        <w:tc>
          <w:tcPr>
            <w:tcW w:type="dxa" w:w="331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User Interactivity &amp; Drill-Down</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Top KPI Scorecard Band</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Single-value metric cards with trend sparklines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EHR aggregate feed</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Click to toggle historical 30-day, 90-day, and 12-month trailing windows.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Disease Cohort Readmissions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Horizontal grouped bar chart vs CMS benchmark</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Claims &amp; ADT extracts</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Filter by clinical condition (CHF, AMI, Diabetes, Pneumonia, Sepsis).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HRRP Financial Risk Gauge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Dynamic bullet gauge with penalty threshold bands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CMS payment model</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Simulate readmission reduction scenarios to project cost avoidance ($).</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Geographic Patient Heatmap</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County-level choropleth map</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 postal code data</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Identify geographic clusters with low outpatient follow-up adherence.</w:t>
            </w:r>
          </w:p>
        </w:tc>
      </w:tr>
    </w:tbl>
    <w:p>
      <w:pPr>
        <w:keepNext/>
        <w:widowControl/>
        <w:spacing w:before="240" w:after="80"/>
      </w:pPr>
      <w:r>
        <w:rPr>
          <w:rFonts w:ascii="Times New Roman" w:hAnsi="Times New Roman"/>
          <w:b/>
          <w:color w:val="000000"/>
          <w:sz w:val="32"/>
        </w:rPr>
        <w:t>4.2 Wireframe 2: Departmental Bed Flow &amp; Inpatient Capacity Dashboard</w:t>
      </w:r>
    </w:p>
    <w:p>
      <w:pPr>
        <w:keepNext/>
        <w:widowControl/>
        <w:spacing w:before="0" w:after="100" w:line="276" w:lineRule="auto"/>
      </w:pPr>
      <w:r>
        <w:rPr>
          <w:rFonts w:ascii="Times New Roman" w:hAnsi="Times New Roman"/>
          <w:color w:val="000000"/>
          <w:sz w:val="24"/>
        </w:rPr>
        <w:t>Audience: Nurse Unit Managers, Chief Operating Officer, Bed Placement Coordinators. Focus: Real-time bed occupancy, anticipated discharges, and nurse staffing ratios.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Dashboard Component</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Visual Element Type</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Data Feed</w:t>
            </w:r>
          </w:p>
        </w:tc>
        <w:tc>
          <w:tcPr>
            <w:tcW w:type="dxa" w:w="331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User Interactivity &amp; Drill-Down</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Ward Occupancy Grid</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Color-coded 2D matrix map (Green, Amber, Red)</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ADT bed telemetry</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Hover for patient acuity score and attending physician details.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72-Hour Bed Census Forecast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Time-series line chart with confidence intervals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ARIMA / Prophet model</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Toggle between medical wards, surgical units, and intensive care units.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Discharge Readiness Funnel</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Horizontal progress funnel bar</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EHR order status feed</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Filter by discharge barrier (transport, pharmacy reconciliation, SNF placement).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Staffing Ratio Alert Box</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Alert status table with nurse-to-patient ratios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 scheduling engine</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Click to trigger float-pool nurse redistribution requests.</w:t>
            </w:r>
          </w:p>
        </w:tc>
      </w:tr>
    </w:tbl>
    <w:p>
      <w:pPr>
        <w:keepNext/>
        <w:widowControl/>
        <w:spacing w:before="240" w:after="80"/>
      </w:pPr>
      <w:r>
        <w:rPr>
          <w:rFonts w:ascii="Times New Roman" w:hAnsi="Times New Roman"/>
          <w:b/>
          <w:color w:val="000000"/>
          <w:sz w:val="32"/>
        </w:rPr>
        <w:t>4.3 Wireframe 3: Frontline Bedside Care Management Risk Queue</w:t>
      </w:r>
    </w:p>
    <w:p>
      <w:pPr>
        <w:keepNext/>
        <w:widowControl/>
        <w:spacing w:before="0" w:after="100" w:line="276" w:lineRule="auto"/>
      </w:pPr>
      <w:r>
        <w:rPr>
          <w:rFonts w:ascii="Times New Roman" w:hAnsi="Times New Roman"/>
          <w:color w:val="000000"/>
          <w:sz w:val="24"/>
        </w:rPr>
        <w:t>Audience: Transitional Care Coordinators, Clinical Pharmacists, Discharge Planners. Focus: Patient-level readmission risk scores, local risk drivers, and post-discharge task tracking.</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Dashboard Component</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Visual Element Type</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Data Feed</w:t>
            </w:r>
          </w:p>
        </w:tc>
        <w:tc>
          <w:tcPr>
            <w:tcW w:type="dxa" w:w="331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User Interactivity &amp; Drill-Down</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High-Risk Patient Worklist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Interactive sortable data grid with color risk tags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XGBoost risk engine</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Sort by readmission probability, length of stay, or planned discharge date.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Local Risk Driver Bar</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Horizontal waterfall bar (SHAP value attribution)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Model explainability API</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Displays top 3 patient-specific factors driving high-risk assignment.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Care Transition Checklist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Interactive task completion checkbox matrix</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Care coordination DB</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Log completed pharmacist reconciliation and 48-hour follow-up scheduling.</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Discharge Summary Export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One-click printable clinical handover sheet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EHR integration layer</w:t>
            </w:r>
          </w:p>
        </w:tc>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Generates standardized Project RED patient discharge instruction packet.</w:t>
            </w:r>
          </w:p>
        </w:tc>
      </w:tr>
    </w:tbl>
    <w:p>
      <w:pPr>
        <w:keepNext/>
        <w:widowControl/>
        <w:spacing w:before="320" w:after="100"/>
      </w:pPr>
      <w:r>
        <w:rPr>
          <w:rFonts w:ascii="Times New Roman" w:hAnsi="Times New Roman"/>
          <w:b/>
          <w:color w:val="000000"/>
          <w:sz w:val="36"/>
        </w:rPr>
        <w:t>5. Visual Encoding Standards, Color Theory &amp; Accessibility</w:t>
      </w:r>
    </w:p>
    <w:p>
      <w:pPr>
        <w:keepNext/>
        <w:widowControl/>
        <w:spacing w:before="0" w:after="100" w:line="276" w:lineRule="auto"/>
      </w:pPr>
      <w:r>
        <w:rPr>
          <w:rFonts w:ascii="Times New Roman" w:hAnsi="Times New Roman"/>
          <w:color w:val="000000"/>
          <w:sz w:val="24"/>
        </w:rPr>
        <w:t>Clinical visualization systems must adhere to strict accessibility and human factors engineering principles to prevent misinterpretation and cognitive fatigue:</w:t>
      </w:r>
    </w:p>
    <w:p>
      <w:pPr>
        <w:pStyle w:val="ListBullet"/>
        <w:keepNext/>
        <w:spacing w:after="60" w:line="276" w:lineRule="auto"/>
      </w:pPr>
      <w:r>
        <w:rPr>
          <w:rFonts w:ascii="Times New Roman" w:hAnsi="Times New Roman"/>
          <w:b/>
          <w:color w:val="000000"/>
          <w:sz w:val="24"/>
        </w:rPr>
        <w:t xml:space="preserve">Colorblind-Safe Palettes: </w:t>
      </w:r>
      <w:r>
        <w:rPr>
          <w:rFonts w:ascii="Times New Roman" w:hAnsi="Times New Roman"/>
          <w:color w:val="000000"/>
          <w:sz w:val="24"/>
        </w:rPr>
        <w:t>Standard red-green indicators are replaced with accessible palettes (e.g., navy blue for baseline, amber for moderate risk, and deep vermilion for acute risk) compliant with WCAG 2.1 AA contrast standards, ensuring safety for clinicians with deuteranopia or protanopia.</w:t>
      </w:r>
    </w:p>
    <w:p>
      <w:pPr>
        <w:pStyle w:val="ListBullet"/>
        <w:keepNext/>
        <w:spacing w:after="60" w:line="276" w:lineRule="auto"/>
      </w:pPr>
      <w:r>
        <w:rPr>
          <w:rFonts w:ascii="Times New Roman" w:hAnsi="Times New Roman"/>
          <w:b/>
          <w:color w:val="000000"/>
          <w:sz w:val="24"/>
        </w:rPr>
        <w:t xml:space="preserve">Direct Data Labeling &amp; Redundant Encodings: </w:t>
      </w:r>
      <w:r>
        <w:rPr>
          <w:rFonts w:ascii="Times New Roman" w:hAnsi="Times New Roman"/>
          <w:color w:val="000000"/>
          <w:sz w:val="24"/>
        </w:rPr>
        <w:t>Every critical threshold incorporates redundant encodings: numeric values, shapes (icons), and text labels accompany color cues to guarantee accurate interpretation across varying monitor resolutions and ambient ward lighting.</w:t>
      </w:r>
    </w:p>
    <w:p>
      <w:pPr>
        <w:pStyle w:val="ListBullet"/>
        <w:keepNext/>
        <w:spacing w:after="60" w:line="276" w:lineRule="auto"/>
      </w:pPr>
      <w:r>
        <w:rPr>
          <w:rFonts w:ascii="Times New Roman" w:hAnsi="Times New Roman"/>
          <w:b/>
          <w:color w:val="000000"/>
          <w:sz w:val="24"/>
        </w:rPr>
        <w:t xml:space="preserve">Cognitive Load Restraint (Data-to-Ink Ratio): </w:t>
      </w:r>
      <w:r>
        <w:rPr>
          <w:rFonts w:ascii="Times New Roman" w:hAnsi="Times New Roman"/>
          <w:color w:val="000000"/>
          <w:sz w:val="24"/>
        </w:rPr>
        <w:t>Adhering to Tufte design principles, decorative 3D effects, background gradients, and non-essential gridlines are eliminated, maximizing the proportion of visual ink dedicated to actionable clinical data.</w:t>
      </w:r>
    </w:p>
    <w:p>
      <w:pPr>
        <w:keepNext/>
        <w:widowControl/>
        <w:spacing w:before="320" w:after="100"/>
      </w:pPr>
      <w:r>
        <w:rPr>
          <w:rFonts w:ascii="Times New Roman" w:hAnsi="Times New Roman"/>
          <w:b/>
          <w:color w:val="000000"/>
          <w:sz w:val="36"/>
        </w:rPr>
        <w:t>6. Stakeholder-Tailored Communication Strategy</w:t>
      </w:r>
    </w:p>
    <w:p>
      <w:pPr>
        <w:keepNext/>
        <w:widowControl/>
        <w:spacing w:before="0" w:after="100" w:line="276" w:lineRule="auto"/>
      </w:pPr>
      <w:r>
        <w:rPr>
          <w:rFonts w:ascii="Times New Roman" w:hAnsi="Times New Roman"/>
          <w:color w:val="000000"/>
          <w:sz w:val="24"/>
        </w:rPr>
        <w:t>To ensure sustainable clinical adoption, analytical insights must be packaged into communication formats tailored to each stakeholder group's decision cadence and cognitive requirements: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Stakeholder Group</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Reporting Channel</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Information Focus</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Update Cadence</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Action Triggered</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Board of Directors / CEO</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Executive PDF Summary &amp; Board Deck</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High-level quality trends, HRRP regulatory compliance, net ROI</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Quarterly</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Capital allocation, strategic quality priorities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Medical Officer</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Power BI Executive Quality Dashboard</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Disease cohort risk profiles, readmission causes, physician benchmarks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Bi-weekly</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pathway revisions, attending physician reviews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 Unit Managers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Tableau Bed Capacity Live Screen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Ward bed occupancy, pending discharges, shift nurse staffing</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Real-time / Shift change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assignment re-routing, float nurse requests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Care Transition Coordinators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Worklist Web Application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Patient-specific risk scores, top SHAP drivers, follow-up checklist</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 Continuous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Pharmacist medication reviews, 48h outreach calls</w:t>
            </w:r>
          </w:p>
        </w:tc>
      </w:tr>
    </w:tbl>
    <w:p>
      <w:pPr>
        <w:keepNext/>
        <w:widowControl/>
        <w:spacing w:before="320" w:after="100"/>
      </w:pPr>
      <w:r>
        <w:rPr>
          <w:rFonts w:ascii="Times New Roman" w:hAnsi="Times New Roman"/>
          <w:b/>
          <w:color w:val="000000"/>
          <w:sz w:val="36"/>
        </w:rPr>
        <w:t>7. Production Delivery Roadmap &amp; Implementation Sign-Off</w:t>
      </w:r>
    </w:p>
    <w:p>
      <w:pPr>
        <w:widowControl/>
        <w:spacing w:before="0" w:after="100" w:line="276" w:lineRule="auto"/>
      </w:pPr>
      <w:r>
        <w:rPr>
          <w:rFonts w:ascii="Times New Roman" w:hAnsi="Times New Roman"/>
          <w:color w:val="000000"/>
          <w:sz w:val="24"/>
        </w:rPr>
        <w:t>Conclusion &amp; Next Steps: The completion of this visualization and communication strategy establishes the visual front-end for our analytical platform. With KPI definitions approved, metric wireframes validated by clinical stakeholders, and accessibility standards codified, the project transitions into Week 4: Statistical Analysis and Predictive Modeling. In the upcoming phase, advanced feature engineering, 5-fold cross-validation, and gradient boosted risk algorithms (XGBoost/LightGBM) will be developed to power the predictive risk engines behind these dashboards.</w:t>
      </w:r>
    </w:p>
    <w:p>
      <w:pPr>
        <w:spacing w:before="280"/>
        <w:jc w:val="center"/>
      </w:pPr>
      <w:r>
        <w:rPr>
          <w:rFonts w:ascii="Times New Roman" w:hAnsi="Times New Roman"/>
          <w:i/>
          <w:color w:val="000000"/>
          <w:sz w:val="24"/>
        </w:rPr>
        <w:t>— End of Healthcare Data Visualization and Insights Deliverable (Week 3) —</w:t>
        <w:br/>
        <w:t>Prepared by Ankit Kumar | Healthcare Data Analyst Intern</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Healthcare Data Analyst Intern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3 Task: Data Visualization and Insights Communication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