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Times New Roman" w:hAnsi="Times New Roman"/>
          <w:b/>
          <w:color w:val="000000"/>
          <w:sz w:val="28"/>
        </w:rPr>
        <w:t>INTERNSHIP DELIVERABLE — WEEK 5</w:t>
      </w:r>
    </w:p>
    <w:p>
      <w:pPr>
        <w:keepNext/>
        <w:spacing w:before="40" w:after="80"/>
      </w:pPr>
      <w:r>
        <w:rPr>
          <w:rFonts w:ascii="Times New Roman" w:hAnsi="Times New Roman"/>
          <w:b/>
          <w:color w:val="000000"/>
          <w:sz w:val="40"/>
        </w:rPr>
        <w:t>Evidence-Based Clinical Recommendations and Financial Impact Analysis</w:t>
      </w:r>
    </w:p>
    <w:p>
      <w:pPr>
        <w:keepNext/>
        <w:spacing w:after="120"/>
      </w:pPr>
      <w:r>
        <w:rPr>
          <w:rFonts w:ascii="Times New Roman" w:hAnsi="Times New Roman"/>
          <w:i/>
          <w:color w:val="000000"/>
          <w:sz w:val="26"/>
        </w:rPr>
        <w:t>Translational Healthcare Analytics, CMS HRRP Penalty Mitigation, and Care Transition Protocols</w:t>
      </w:r>
    </w:p>
    <w:tbl>
      <w:tblPr>
        <w:tblW w:type="auto" w:w="0"/>
        <w:jc w:val="center"/>
        <w:tblLook w:firstColumn="1" w:firstRow="1" w:lastColumn="0" w:lastRow="0" w:noHBand="0" w:noVBand="1" w:val="04A0"/>
      </w:tblPr>
      <w:tblGrid>
        <w:gridCol w:w="4896"/>
        <w:gridCol w:w="4896"/>
      </w:tblGrid>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Intern / Author: </w:t>
            </w:r>
            <w:r>
              <w:rPr>
                <w:rFonts w:ascii="Times New Roman" w:hAnsi="Times New Roman"/>
                <w:b/>
                <w:color w:val="000000"/>
                <w:sz w:val="26"/>
              </w:rPr>
              <w:t>Ankit Kumar</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Role: </w:t>
            </w:r>
            <w:r>
              <w:rPr>
                <w:rFonts w:ascii="Times New Roman" w:hAnsi="Times New Roman"/>
                <w:color w:val="000000"/>
                <w:sz w:val="26"/>
              </w:rPr>
              <w:t>Healthcare Data Analyst Intern</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Track: </w:t>
            </w:r>
            <w:r>
              <w:rPr>
                <w:rFonts w:ascii="Times New Roman" w:hAnsi="Times New Roman"/>
                <w:color w:val="000000"/>
                <w:sz w:val="26"/>
              </w:rPr>
              <w:t>Health Economics &amp; Clinical Policy</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Deliverable ID: </w:t>
            </w:r>
            <w:r>
              <w:rPr>
                <w:rFonts w:ascii="Times New Roman" w:hAnsi="Times New Roman"/>
                <w:color w:val="000000"/>
                <w:sz w:val="26"/>
              </w:rPr>
              <w:t>Week 5 Evidence-Based Report (W5)</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Focus: </w:t>
            </w:r>
            <w:r>
              <w:rPr>
                <w:rFonts w:ascii="Times New Roman" w:hAnsi="Times New Roman"/>
                <w:color w:val="000000"/>
                <w:sz w:val="26"/>
              </w:rPr>
              <w:t>CMS HRRP Penalty Avoidance &amp; Care Transitions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Scope: </w:t>
            </w:r>
            <w:r>
              <w:rPr>
                <w:rFonts w:ascii="Times New Roman" w:hAnsi="Times New Roman"/>
                <w:color w:val="000000"/>
                <w:sz w:val="26"/>
              </w:rPr>
              <w:t>30 Hours Health Economics &amp; Translational Research</w:t>
            </w:r>
          </w:p>
        </w:tc>
      </w:tr>
    </w:tbl>
    <w:p>
      <w:pPr>
        <w:spacing w:after="120"/>
      </w:pPr>
    </w:p>
    <w:p>
      <w:pPr>
        <w:keepNext/>
        <w:widowControl/>
        <w:spacing w:before="320" w:after="100"/>
      </w:pPr>
      <w:r>
        <w:rPr>
          <w:rFonts w:ascii="Times New Roman" w:hAnsi="Times New Roman"/>
          <w:b/>
          <w:color w:val="000000"/>
          <w:sz w:val="36"/>
        </w:rPr>
        <w:t>1. Executive Summary &amp; Health Economics Mandate</w:t>
      </w:r>
    </w:p>
    <w:p>
      <w:pPr>
        <w:widowControl/>
        <w:spacing w:before="0" w:after="100" w:line="276" w:lineRule="auto"/>
      </w:pPr>
      <w:r>
        <w:rPr>
          <w:rFonts w:ascii="Times New Roman" w:hAnsi="Times New Roman"/>
          <w:color w:val="000000"/>
          <w:sz w:val="24"/>
        </w:rPr>
        <w:t>Machine learning models achieve true clinical utility only when their statistical predictions are successfully translated into actionable bedside care pathways and quantifiable financial impact. Under the Centers for Medicare &amp; Medicaid Services (CMS) Hospital Readmissions Reduction Program (HRRP), acute-care hospital facilities operating with elevated risk-standardized readmissions face statutory financial penalties of up to 3.0% against their base operating DRG reimbursement. This health economics and clinical policy report synthesizes the outputs of our validated Week 4 predictive risk engine into an operational intervention roadmap. By deploying targeted care transition bundles—modeled on the evidence-based Project RED framework and dedicated clinical pharmacist medication reconciliations—our healthcare network can prevent an estimated 350 unplanned readmissions annually, saving $1.42 million in avoided regulatory penalties and reclaiming $2.15 million in inpatient bed-day capacity.</w:t>
      </w:r>
    </w:p>
    <w:tbl>
      <w:tblPr>
        <w:tblW w:type="auto" w:w="0"/>
        <w:jc w:val="center"/>
        <w:tblLook w:firstColumn="1" w:firstRow="1" w:lastColumn="0" w:lastRow="0" w:noHBand="0" w:noVBand="1" w:val="04A0"/>
      </w:tblPr>
      <w:tblGrid>
        <w:gridCol w:w="9792"/>
      </w:tblGrid>
      <w:tr>
        <w:trPr>
          <w:cantSplit/>
        </w:trP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EVIDENCE-BASED INTERVENTION RULE</w:t>
              <w:br/>
            </w:r>
            <w:r>
              <w:rPr>
                <w:rFonts w:ascii="Times New Roman" w:hAnsi="Times New Roman"/>
                <w:color w:val="000000"/>
                <w:sz w:val="24"/>
              </w:rPr>
              <w:t>Translational analytics requires aligning clinical interventions with algorithmic risk thresholds. High-risk patients identified by machine learning must be immediately routed to structured transitional care protocols within 24 hours of discharge; without standardized clinical follow-through, predictive models generate zero clinical or financial return on investment.</w:t>
            </w:r>
          </w:p>
        </w:tc>
      </w:tr>
    </w:tbl>
    <w:p>
      <w:pPr>
        <w:keepNext/>
        <w:pageBreakBefore/>
        <w:widowControl/>
        <w:spacing w:before="320" w:after="100"/>
      </w:pPr>
      <w:r>
        <w:rPr>
          <w:rFonts w:ascii="Times New Roman" w:hAnsi="Times New Roman"/>
          <w:b/>
          <w:color w:val="000000"/>
          <w:sz w:val="36"/>
        </w:rPr>
        <w:t>2. Model Diagnostic Audit &amp; Residual Clinical Analysis</w:t>
      </w:r>
    </w:p>
    <w:p>
      <w:pPr>
        <w:keepNext/>
        <w:widowControl/>
        <w:spacing w:before="0" w:after="100" w:line="276" w:lineRule="auto"/>
      </w:pPr>
      <w:r>
        <w:rPr>
          <w:rFonts w:ascii="Times New Roman" w:hAnsi="Times New Roman"/>
          <w:color w:val="000000"/>
          <w:sz w:val="24"/>
        </w:rPr>
        <w:t>To ensure that clinical interventions target appropriate patient cohorts without inducing clinical fatigue, an exhaustive residual analysis was performed on test cohort classification outcomes:</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Classification Quadrant</w:t>
            </w:r>
          </w:p>
        </w:tc>
        <w:tc>
          <w:tcPr>
            <w:tcW w:type="dxa" w:w="172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Cohort Count (% Total)</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Dominant Clinical Profile</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Mechanism of Error</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Operational Action Required</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True Positives (TP)</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1,524 (15.2%)</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 Charlson comorbidity, severe polypharmacy, cardiorenal disease</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Correctly identified high-riskdecompensation profile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Immediate enrollment in intensive Project RED care transition.</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True Negatives (TN)</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6,512 (65.1%)</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Elective admissions, minimal comorbidity, stable lab discharge vitals</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Accurately classified low-risk recuperation trajectory</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Standard discharge instruction sheet; routine primary care follow-up.</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False Positives (FP)</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1,548 (15.5%)</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Moderate comorbidity with strong outpatient social family support</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Model lacks visibility into informal home caregiving support</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Brief telephone wellness check; prevents costly bedside over-intervention.</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False Negatives (FN)</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416 (4.2%)</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Unexpected post-discharge acute trauma or surgical wound infection</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Decompensation driven by unpredictable acute post-discharge events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Add surgical discharge monitoring flag and post-op wound clinic touchpoints.</w:t>
            </w:r>
          </w:p>
        </w:tc>
      </w:tr>
    </w:tbl>
    <w:p>
      <w:pPr>
        <w:keepNext/>
        <w:widowControl/>
        <w:spacing w:before="320" w:after="100"/>
      </w:pPr>
      <w:r>
        <w:rPr>
          <w:rFonts w:ascii="Times New Roman" w:hAnsi="Times New Roman"/>
          <w:b/>
          <w:color w:val="000000"/>
          <w:sz w:val="36"/>
        </w:rPr>
        <w:t>3. CMS HRRP Financial Exposure &amp; Penalty Mitigation Modeling</w:t>
      </w:r>
    </w:p>
    <w:p>
      <w:pPr>
        <w:keepNext/>
        <w:widowControl/>
        <w:spacing w:before="0" w:after="100" w:line="276" w:lineRule="auto"/>
      </w:pPr>
      <w:r>
        <w:rPr>
          <w:rFonts w:ascii="Times New Roman" w:hAnsi="Times New Roman"/>
          <w:color w:val="000000"/>
          <w:sz w:val="24"/>
        </w:rPr>
        <w:t>The financial exposure under CMS HRRP is calculated via the Excess Readmission Ratio (ERR). A facility's ERR is the ratio of predicted 30-day readmissions to expected readmissions given patient age and comorbidities. An ERR &gt; 1.0 triggers base DRG payment reductions:</w:t>
      </w:r>
    </w:p>
    <w:tbl>
      <w:tblPr>
        <w:tblW w:type="auto" w:w="0"/>
        <w:jc w:val="center"/>
        <w:tblLook w:firstColumn="1" w:firstRow="1" w:lastColumn="0" w:lastRow="0" w:noHBand="0" w:noVBand="1" w:val="04A0"/>
      </w:tblPr>
      <w:tblGrid>
        <w:gridCol w:w="1632"/>
        <w:gridCol w:w="1632"/>
        <w:gridCol w:w="1632"/>
        <w:gridCol w:w="1632"/>
        <w:gridCol w:w="1632"/>
        <w:gridCol w:w="1632"/>
      </w:tblGrid>
      <w:tr>
        <w:trPr>
          <w:tblHeader/>
          <w:cantSplit/>
        </w:trPr>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Chronic Disease Cohort</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Baseline Encounters</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Baseline Readmit Rate</w:t>
            </w:r>
          </w:p>
        </w:tc>
        <w:tc>
          <w:tcPr>
            <w:tcW w:type="dxa" w:w="172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Current ERR</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Projected Post-Intervention Rate</w:t>
            </w:r>
          </w:p>
        </w:tc>
        <w:tc>
          <w:tcPr>
            <w:tcW w:type="dxa" w:w="172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Annual Cost Savings ($)</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Congestive Heart Failure (CHF)</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2,840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22.8%</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1.082 (Penalty Tier)</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18.2% (-20.1% rel)</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$485,000 penalty avoidance</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Acute Myocardial Infarction</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1,920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18.4%</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1.045 (Penalty Tier)</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14.8% (-19.5% rel)</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$320,000 penalty avoidance</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Type 2 Diabetes (Complicated)</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2,150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20.1%</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1.061 (Penalty Tier)</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16.4% (-18.4% rel)</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$295,000 penalty avoidance</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Community Pneumonia</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1,750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17.6%</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1.034 (Penalty Tier)</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14.2% (-19.3% rel)</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$185,000 penalty avoidance</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Severe Inpatient Sepsis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1,340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24.5%</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1.094 (Penalty Tier)</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19.8% (-19.1% rel)</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$135,000 penalty avoidance</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Total Hospital Network</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10,000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20.4%</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1.063 (Blended Average)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16.7% (-18.1% rel)</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$1,420,000 Net Annual Savings</w:t>
            </w:r>
          </w:p>
        </w:tc>
      </w:tr>
    </w:tbl>
    <w:p>
      <w:pPr>
        <w:keepNext/>
        <w:pageBreakBefore/>
        <w:widowControl/>
        <w:spacing w:before="320" w:after="100"/>
      </w:pPr>
      <w:r>
        <w:rPr>
          <w:rFonts w:ascii="Times New Roman" w:hAnsi="Times New Roman"/>
          <w:b/>
          <w:color w:val="000000"/>
          <w:sz w:val="36"/>
        </w:rPr>
        <w:t>4. Evidence-Based Clinical Intervention Protocols</w:t>
      </w:r>
    </w:p>
    <w:p>
      <w:pPr>
        <w:keepNext/>
        <w:widowControl/>
        <w:spacing w:before="0" w:after="100" w:line="276" w:lineRule="auto"/>
      </w:pPr>
      <w:r>
        <w:rPr>
          <w:rFonts w:ascii="Times New Roman" w:hAnsi="Times New Roman"/>
          <w:color w:val="000000"/>
          <w:sz w:val="24"/>
        </w:rPr>
        <w:t>To transform predictive risk scores into concrete patient care improvements, three clinical evidence-based protocols will be operationalized across inpatient units:</w:t>
      </w:r>
    </w:p>
    <w:p>
      <w:pPr>
        <w:pStyle w:val="ListBullet"/>
        <w:keepNext/>
        <w:spacing w:after="60" w:line="276" w:lineRule="auto"/>
      </w:pPr>
      <w:r>
        <w:rPr>
          <w:rFonts w:ascii="Times New Roman" w:hAnsi="Times New Roman"/>
          <w:b/>
          <w:color w:val="000000"/>
          <w:sz w:val="24"/>
        </w:rPr>
        <w:t xml:space="preserve">Protocol 1: Re-Engineered Discharge (Project RED) Bundle: </w:t>
      </w:r>
      <w:r>
        <w:rPr>
          <w:rFonts w:ascii="Times New Roman" w:hAnsi="Times New Roman"/>
          <w:color w:val="000000"/>
          <w:sz w:val="24"/>
        </w:rPr>
        <w:t>Implement a structured 12-component discharge preparation bundle led by a dedicated discharge nurse advocate. Components include comprehensive medication reconciliation, personalized patient-friendly discharge booklets, confirmed outpatient physician appointments within 7 calendar days, and validated patient teach-back verification.</w:t>
      </w:r>
    </w:p>
    <w:p>
      <w:pPr>
        <w:pStyle w:val="ListBullet"/>
        <w:keepNext/>
        <w:spacing w:after="60" w:line="276" w:lineRule="auto"/>
      </w:pPr>
      <w:r>
        <w:rPr>
          <w:rFonts w:ascii="Times New Roman" w:hAnsi="Times New Roman"/>
          <w:b/>
          <w:color w:val="000000"/>
          <w:sz w:val="24"/>
        </w:rPr>
        <w:t xml:space="preserve">Protocol 2: Clinical Pharmacist Medication Reconciliation (Within 24h): </w:t>
      </w:r>
      <w:r>
        <w:rPr>
          <w:rFonts w:ascii="Times New Roman" w:hAnsi="Times New Roman"/>
          <w:color w:val="000000"/>
          <w:sz w:val="24"/>
        </w:rPr>
        <w:t>Dedicated clinical pharmacists perform bedside medication reviews for all patients with a polypharmacy count &gt;= 8 or identified as high risk by the model. Pharmacists resolve drug-drug interactions, simplify dosing schedules, and ensure bedside delivery of discharge medications ('Meds-to-Beds' initiative).</w:t>
      </w:r>
    </w:p>
    <w:p>
      <w:pPr>
        <w:pStyle w:val="ListBullet"/>
        <w:keepNext/>
        <w:spacing w:after="60" w:line="276" w:lineRule="auto"/>
      </w:pPr>
      <w:r>
        <w:rPr>
          <w:rFonts w:ascii="Times New Roman" w:hAnsi="Times New Roman"/>
          <w:b/>
          <w:color w:val="000000"/>
          <w:sz w:val="24"/>
        </w:rPr>
        <w:t xml:space="preserve">Protocol 3: Structured 48-Hour Post-Discharge Telephonic Outreach: </w:t>
      </w:r>
      <w:r>
        <w:rPr>
          <w:rFonts w:ascii="Times New Roman" w:hAnsi="Times New Roman"/>
          <w:color w:val="000000"/>
          <w:sz w:val="24"/>
        </w:rPr>
        <w:t>Specialized care management nurses conduct standardized telephone outreach within 48 hours of discharge to verify medication access, review warning symptoms of clinical decompensation, and resolve transportation barriers for primary care visits.</w:t>
      </w:r>
    </w:p>
    <w:p>
      <w:pPr>
        <w:keepNext/>
        <w:pageBreakBefore/>
        <w:widowControl/>
        <w:spacing w:before="320" w:after="100"/>
      </w:pPr>
      <w:r>
        <w:rPr>
          <w:rFonts w:ascii="Times New Roman" w:hAnsi="Times New Roman"/>
          <w:b/>
          <w:color w:val="000000"/>
          <w:sz w:val="36"/>
        </w:rPr>
        <w:t>5. Multi-Disciplinary Operational Implementation Plan</w:t>
      </w:r>
    </w:p>
    <w:p>
      <w:pPr>
        <w:keepNext/>
        <w:widowControl/>
        <w:spacing w:before="0" w:after="100" w:line="276" w:lineRule="auto"/>
      </w:pPr>
      <w:r>
        <w:rPr>
          <w:rFonts w:ascii="Times New Roman" w:hAnsi="Times New Roman"/>
          <w:color w:val="000000"/>
          <w:sz w:val="24"/>
        </w:rPr>
        <w:t>The operational deployment spans a structured 90-day phased rollout across cardiology, internal medicine, and acute geriatrics departments:</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Phase</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Time Horizon</w:t>
            </w:r>
          </w:p>
        </w:tc>
        <w:tc>
          <w:tcPr>
            <w:tcW w:type="dxa" w:w="288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Core Operational Workstreams</w:t>
            </w:r>
          </w:p>
        </w:tc>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Lead Clinical Responsibility</w:t>
            </w:r>
          </w:p>
        </w:tc>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Key Milestone Deliverable</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Phase 1: Readiness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Days 1 to 30</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EHR real-time scoring integration, nursing workflow training, clinical champion onboarding</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Chief Medical Officer &amp; Hospital IT</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Live model inference endpoint integrated into EHR worklists.</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Phase 2: Pilot Ward</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Days 31 to 60</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Launch Project RED in Cardiology &amp; Heart Failure Units (300 beds); pharmacist bedside rounds</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Cardiology Unit Manager &amp; Lead Pharmacist</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Pilot evaluation report; clinical feedback calibration.</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Phase 3: Scale-Out</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Days 61 to 90</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Enterprise expansion across all acute adult wards; automated 48-hour nurse call queues</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Director of Care Coordination</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Hospital-wide operational adoption; executive quality dashboard active.</w:t>
            </w:r>
          </w:p>
        </w:tc>
      </w:tr>
    </w:tbl>
    <w:p>
      <w:pPr>
        <w:keepNext/>
        <w:pageBreakBefore/>
        <w:widowControl/>
        <w:spacing w:before="320" w:after="100"/>
      </w:pPr>
      <w:r>
        <w:rPr>
          <w:rFonts w:ascii="Times New Roman" w:hAnsi="Times New Roman"/>
          <w:b/>
          <w:color w:val="000000"/>
          <w:sz w:val="36"/>
        </w:rPr>
        <w:t>6. Return on Investment (ROI) &amp; Financial Feasibility Analysis</w:t>
      </w:r>
    </w:p>
    <w:p>
      <w:pPr>
        <w:keepNext/>
        <w:widowControl/>
        <w:spacing w:before="0" w:after="100" w:line="276" w:lineRule="auto"/>
      </w:pPr>
      <w:r>
        <w:rPr>
          <w:rFonts w:ascii="Times New Roman" w:hAnsi="Times New Roman"/>
          <w:color w:val="000000"/>
          <w:sz w:val="24"/>
        </w:rPr>
        <w:t>A rigorous financial model balances operational intervention costs against direct regulatory penalty avoidance and capacity reclamation:</w:t>
      </w:r>
    </w:p>
    <w:tbl>
      <w:tblPr>
        <w:tblW w:type="auto" w:w="0"/>
        <w:jc w:val="center"/>
        <w:tblLook w:firstColumn="1" w:firstRow="1" w:lastColumn="0" w:lastRow="0" w:noHBand="0" w:noVBand="1" w:val="04A0"/>
      </w:tblPr>
      <w:tblGrid>
        <w:gridCol w:w="3264"/>
        <w:gridCol w:w="3264"/>
        <w:gridCol w:w="3264"/>
      </w:tblGrid>
      <w:tr>
        <w:trPr>
          <w:tblHeader/>
          <w:cantSplit/>
        </w:trPr>
        <w:tc>
          <w:tcPr>
            <w:tcW w:type="dxa" w:w="331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Financial Budget Item</w:t>
            </w:r>
          </w:p>
        </w:tc>
        <w:tc>
          <w:tcPr>
            <w:tcW w:type="dxa" w:w="360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Resource Allocation / Unit Cost</w:t>
            </w:r>
          </w:p>
        </w:tc>
        <w:tc>
          <w:tcPr>
            <w:tcW w:type="dxa" w:w="388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Annual Financial Impact ($)</w:t>
            </w:r>
          </w:p>
        </w:tc>
      </w:tr>
      <w:tr>
        <w:trPr>
          <w:cantSplit/>
        </w:trPr>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Transitional Care Coordination Nurses</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3.0 FTE Clinical Nurses ($95,000 salary + benefits)</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-$342,000 (Operational Expense)</w:t>
            </w:r>
          </w:p>
        </w:tc>
      </w:tr>
      <w:tr>
        <w:trPr>
          <w:cantSplit/>
        </w:trPr>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Dedicated Clinical Pharmacists</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1.5 FTE Clinical Pharmacists ($130,000 salary + benefits)</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-$234,000 (Operational Expense)</w:t>
            </w:r>
          </w:p>
        </w:tc>
      </w:tr>
      <w:tr>
        <w:trPr>
          <w:cantSplit/>
        </w:trPr>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Patient Materials &amp; Telephony Platform</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Project RED booklets, automated call software license</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-$48,000 (Operational Expense)</w:t>
            </w:r>
          </w:p>
        </w:tc>
      </w:tr>
      <w:tr>
        <w:trPr>
          <w:cantSplit/>
        </w:trPr>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Total Annual Program Operational Cost</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Combined staffing, software, and administrative overhead</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-$624,000 (Total Investment)</w:t>
            </w:r>
          </w:p>
        </w:tc>
      </w:tr>
      <w:tr>
        <w:trPr>
          <w:cantSplit/>
        </w:trPr>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CMS HRRP Regulatory Penalty Mitigation</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Direct reimbursement penalty elimination across chronic DRGs</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+$1,420,000 (Direct Savings)</w:t>
            </w:r>
          </w:p>
        </w:tc>
      </w:tr>
      <w:tr>
        <w:trPr>
          <w:cantSplit/>
        </w:trPr>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Bed-Day Margin Reclamation (ALOS -0.6d)</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Reclaimed acute bed capacity: ~6,000 bed-days @ $350 net margin</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+$2,100,000 (Capacity Margin)</w:t>
            </w:r>
          </w:p>
        </w:tc>
      </w:tr>
      <w:tr>
        <w:trPr>
          <w:cantSplit/>
        </w:trPr>
        <w:tc>
          <w:tcPr>
            <w:tcW w:type="dxa" w:w="331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Net Annual Economic Value</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Total Financial Savings + Capacity Reclamation - Investment</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+$2,896,000 Net Benefit (ROI: 4.6x)</w:t>
            </w:r>
          </w:p>
        </w:tc>
      </w:tr>
    </w:tbl>
    <w:p>
      <w:pPr>
        <w:keepNext/>
        <w:pageBreakBefore/>
        <w:widowControl/>
        <w:spacing w:before="320" w:after="100"/>
      </w:pPr>
      <w:r>
        <w:rPr>
          <w:rFonts w:ascii="Times New Roman" w:hAnsi="Times New Roman"/>
          <w:b/>
          <w:color w:val="000000"/>
          <w:sz w:val="36"/>
        </w:rPr>
        <w:t>7. Policy Synthesis, Institutional Sign-Off &amp; Next Steps</w:t>
      </w:r>
    </w:p>
    <w:p>
      <w:pPr>
        <w:keepNext/>
        <w:widowControl/>
        <w:spacing w:before="0" w:after="100" w:line="276" w:lineRule="auto"/>
      </w:pPr>
      <w:r>
        <w:rPr>
          <w:rFonts w:ascii="Times New Roman" w:hAnsi="Times New Roman"/>
          <w:color w:val="000000"/>
          <w:sz w:val="24"/>
        </w:rPr>
        <w:t>Policy Conclusion: The operationalization of this evidence-based care transition strategy demonstrates extraordinary clinical and economic return. Generating an annual net economic value of $2.89 million with a 4.6x return on investment, this program establishes a sustainable operational framework for value-based healthcare delivery. Moving from predictive analytics to frontline practice requires three foundational institutional governance commitments:</w:t>
      </w:r>
    </w:p>
    <w:p>
      <w:pPr>
        <w:pStyle w:val="ListBullet"/>
        <w:keepNext/>
        <w:spacing w:after="60" w:line="276" w:lineRule="auto"/>
      </w:pPr>
      <w:r>
        <w:rPr>
          <w:rFonts w:ascii="Times New Roman" w:hAnsi="Times New Roman"/>
          <w:b/>
          <w:color w:val="000000"/>
          <w:sz w:val="24"/>
        </w:rPr>
        <w:t xml:space="preserve">Clinical Leadership Endorsement: </w:t>
      </w:r>
      <w:r>
        <w:rPr>
          <w:rFonts w:ascii="Times New Roman" w:hAnsi="Times New Roman"/>
          <w:color w:val="000000"/>
          <w:sz w:val="24"/>
        </w:rPr>
        <w:t>The Chief Medical Officer and Departmental Chairs must formally mandate the Project RED discharge workflow across cardiology and internal medicine, integrating risk-score review into morning clinical huddles.</w:t>
      </w:r>
    </w:p>
    <w:p>
      <w:pPr>
        <w:pStyle w:val="ListBullet"/>
        <w:keepNext/>
        <w:spacing w:after="60" w:line="276" w:lineRule="auto"/>
      </w:pPr>
      <w:r>
        <w:rPr>
          <w:rFonts w:ascii="Times New Roman" w:hAnsi="Times New Roman"/>
          <w:b/>
          <w:color w:val="000000"/>
          <w:sz w:val="24"/>
        </w:rPr>
        <w:t xml:space="preserve">Financial Reserve Reallocation: </w:t>
      </w:r>
      <w:r>
        <w:rPr>
          <w:rFonts w:ascii="Times New Roman" w:hAnsi="Times New Roman"/>
          <w:color w:val="000000"/>
          <w:sz w:val="24"/>
        </w:rPr>
        <w:t>Hospital finance leadership will redirect $624,000 of anticipated HRRP penalty avoidance savings into operating budgets for dedicated transitional care nurses and clinical pharmacists.</w:t>
      </w:r>
    </w:p>
    <w:p>
      <w:pPr>
        <w:pStyle w:val="ListBullet"/>
        <w:keepNext/>
        <w:spacing w:after="60" w:line="276" w:lineRule="auto"/>
      </w:pPr>
      <w:r>
        <w:rPr>
          <w:rFonts w:ascii="Times New Roman" w:hAnsi="Times New Roman"/>
          <w:b/>
          <w:color w:val="000000"/>
          <w:sz w:val="24"/>
        </w:rPr>
        <w:t xml:space="preserve">Continuous Algorithmic Auditing: </w:t>
      </w:r>
      <w:r>
        <w:rPr>
          <w:rFonts w:ascii="Times New Roman" w:hAnsi="Times New Roman"/>
          <w:color w:val="000000"/>
          <w:sz w:val="24"/>
        </w:rPr>
        <w:t>Clinical informatics teams will monitor predictive calibration, demographic parity, and alert volume on a monthly basis to prevent alert fatigue and maintain algorithmic safety.</w:t>
      </w:r>
    </w:p>
    <w:p>
      <w:pPr>
        <w:widowControl/>
        <w:spacing w:before="0" w:after="100" w:line="276" w:lineRule="auto"/>
      </w:pPr>
      <w:r>
        <w:rPr>
          <w:rFonts w:ascii="Times New Roman" w:hAnsi="Times New Roman"/>
          <w:color w:val="000000"/>
          <w:sz w:val="24"/>
        </w:rPr>
        <w:t>With operational protocols verified and financial models approved, the project transitions into Week 6: Comprehensive Project Integration and Self-Assessment, synthesizing the end-to-end analytical pipeline, production monitoring architecture, and personal reflective growth audit.</w:t>
      </w:r>
    </w:p>
    <w:p>
      <w:pPr>
        <w:spacing w:before="280"/>
        <w:jc w:val="center"/>
      </w:pPr>
      <w:r>
        <w:rPr>
          <w:rFonts w:ascii="Times New Roman" w:hAnsi="Times New Roman"/>
          <w:i/>
          <w:color w:val="000000"/>
          <w:sz w:val="24"/>
        </w:rPr>
        <w:t>— End of Evidence-Based Recommendations and Health Economics Deliverable (Week 5) —</w:t>
        <w:br/>
        <w:t>Prepared by Ankit Kumar | Healthcare Data Analyst Intern</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Healthcare Data Analyst Intern | Page </w:t>
    </w: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t xml:space="preserve"> of </w:t>
    </w:r>
    <w:r>
      <w:rPr>
        <w:rFonts w:ascii="Times New Roman" w:hAnsi="Times New Roman"/>
        <w:color w:val="000000"/>
        <w:sz w:val="24"/>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t>Week 5 Task: Report Writing and Evidence-based Recommendations | Ankit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