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Times New Roman" w:hAnsi="Times New Roman"/>
          <w:b/>
          <w:color w:val="000000"/>
          <w:sz w:val="28"/>
        </w:rPr>
        <w:t>INTERNSHIP DELIVERABLE — WEEK 6</w:t>
      </w:r>
    </w:p>
    <w:p>
      <w:pPr>
        <w:keepNext/>
        <w:spacing w:before="40" w:after="80"/>
      </w:pPr>
      <w:r>
        <w:rPr>
          <w:rFonts w:ascii="Times New Roman" w:hAnsi="Times New Roman"/>
          <w:b/>
          <w:color w:val="000000"/>
          <w:sz w:val="40"/>
        </w:rPr>
        <w:t>Comprehensive Project Integration and Professional Self-Assessment</w:t>
      </w:r>
    </w:p>
    <w:p>
      <w:pPr>
        <w:keepNext/>
        <w:spacing w:after="120"/>
      </w:pPr>
      <w:r>
        <w:rPr>
          <w:rFonts w:ascii="Times New Roman" w:hAnsi="Times New Roman"/>
          <w:i/>
          <w:color w:val="000000"/>
          <w:sz w:val="26"/>
        </w:rPr>
        <w:t>End-to-End Clinical Data Pipeline Packaging, Model Governance, and Reflective Technical Growth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Intern / Author: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Ankit Kumar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Target Role: </w:t>
            </w:r>
            <w:r>
              <w:rPr>
                <w:rFonts w:ascii="Times New Roman" w:hAnsi="Times New Roman"/>
                <w:color w:val="000000"/>
                <w:sz w:val="26"/>
              </w:rPr>
              <w:t>Healthcare Data Analyst Intern</w:t>
            </w:r>
          </w:p>
        </w:tc>
      </w:tr>
      <w:tr>
        <w:trPr>
          <w:cantSplit/>
        </w:trPr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Track: </w:t>
            </w:r>
            <w:r>
              <w:rPr>
                <w:rFonts w:ascii="Times New Roman" w:hAnsi="Times New Roman"/>
                <w:color w:val="000000"/>
                <w:sz w:val="26"/>
              </w:rPr>
              <w:t>Healthcare Data Analytics &amp; Clinical Informatics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Deliverable ID: </w:t>
            </w:r>
            <w:r>
              <w:rPr>
                <w:rFonts w:ascii="Times New Roman" w:hAnsi="Times New Roman"/>
                <w:color w:val="000000"/>
                <w:sz w:val="26"/>
              </w:rPr>
              <w:t>Week 6 Capstone Synthesis (W6)</w:t>
            </w:r>
          </w:p>
        </w:tc>
      </w:tr>
      <w:tr>
        <w:trPr>
          <w:cantSplit/>
        </w:trPr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Pipeline Status: </w:t>
            </w:r>
            <w:r>
              <w:rPr>
                <w:rFonts w:ascii="Times New Roman" w:hAnsi="Times New Roman"/>
                <w:color w:val="000000"/>
                <w:sz w:val="26"/>
              </w:rPr>
              <w:t>Fully Operational End-to-End Analytical Pipeline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after="0" w:line="288" w:lineRule="auto"/>
            </w:pPr>
            <w:r>
              <w:rPr>
                <w:rFonts w:ascii="Times New Roman" w:hAnsi="Times New Roman"/>
                <w:b/>
                <w:color w:val="000000"/>
                <w:sz w:val="27"/>
              </w:rPr>
              <w:t xml:space="preserve">Scope: </w:t>
            </w:r>
            <w:r>
              <w:rPr>
                <w:rFonts w:ascii="Times New Roman" w:hAnsi="Times New Roman"/>
                <w:color w:val="000000"/>
                <w:sz w:val="26"/>
              </w:rPr>
              <w:t>35 Hours Capstone Integration &amp; Self-Audit</w:t>
            </w:r>
          </w:p>
        </w:tc>
      </w:tr>
    </w:tbl>
    <w:p>
      <w:pPr>
        <w:spacing w:after="120"/>
      </w:pPr>
    </w:p>
    <w:p>
      <w:pPr>
        <w:keepNext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1. Executive Summary &amp; Capstone Synthesis</w:t>
      </w:r>
    </w:p>
    <w:p>
      <w:pPr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The capstone milestone of the Healthcare Data Analyst Internship synthesizes six weeks of rigorous analytical engineering, clinical epidemiology, and health economics into a unified production-ready platform. Across acute-care hospital systems, fragmented electronic health records and subjective discharge heuristics have historically driven high rates of preventable 30-day readmissions, resulting in millions of dollars in federal CMS HRRP financial penalties. This capstone integrates our automated multi-source ingestion pipeline, Kahn quality validation framework, interactive clinical wireframe dashboards, optimized XGBoost risk classification engine, and translational Project RED care transition protocols into a cohesive enterprise system. Delivering an AUROC of 0.834, an 18.1% relative reduction in readmissions, and $2.89 million in projected annual net financial value, this project demonstrates how rigorous data analytics directly advances patient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CLINICAL DATA ENGINEERING PRINCIPLE</w:t>
              <w:br/>
            </w:r>
            <w:r>
              <w:rPr>
                <w:rFonts w:ascii="Times New Roman" w:hAnsi="Times New Roman"/>
                <w:color w:val="000000"/>
                <w:sz w:val="24"/>
              </w:rPr>
              <w:t>Enterprise healthcare data analytics requires technical excellence paired with profound clinical empathy. Building reliable machine learning pipelines is not merely an exercise in metric optimization; it is an ethical commitment to equipping bedside clinicians with trustworthy, interpretable insights that protect vulnerable patients during care transitions.</w:t>
            </w:r>
          </w:p>
        </w:tc>
      </w:tr>
    </w:tbl>
    <w:p>
      <w:pPr>
        <w:keepNext/>
        <w:pageBreakBefore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2. End-to-End Technical Architecture &amp; Module Integration</w:t>
      </w:r>
    </w:p>
    <w:p>
      <w:pPr>
        <w:keepNext/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The complete analytical pipeline operates across four modular, decoupled architectural layers ensuring end-to-end auditability, scalability, and HIPAA compliance across 10,000 patient encounters: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160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Pipeline Layer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Technical Modules &amp; Tools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Data Transformation Protocol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Output Artifact &amp; Handoff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1. Ingestion &amp; Preprocessing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Python 3.14, Pandas, SQLite, SQLAlchemy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Automated parsing of multi-source EHR, LIS lab feeds, and ADT admission records; salted SHA-256 de-identification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De-identified relational encounter warehouse (hospital_admissions.csv).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2. Kahn Quality Assurance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NumPy, Scikit-Learn (KNNImputer)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Automated validation of Conformance, Completeness, Plausibility, and Temporal consistency; clinical Winsorization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Cleansed analytical dataset; zero PHI; 100% outcome completeness.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3. Feature Engineering Store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Pandas, Feature-Engine, Scipy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Computation of cardiorenal indices, polypharmacy interaction terms, prior utilization ratios, and LACE scores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Standardized 18-variable model-ready feature vector.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4. Predictive Inference Engine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XGBoost, LightGBM, Scikit-Learn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5-fold stratified cross-validation; Bayesian hyperparameter optimization; cost-sensitive 0.38 decision cutoff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Calibrated patient readmission probabilities and local risk tags.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5. Explainability &amp; Frontline BI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SHapley Additive exPlanations (SHAP)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TreeSHAP waterfall decomposition generating top 3 local patient-specific risk drivers for bedside clinicians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Bedside risk queues, Power BI / Tableau executive quality dashboards.</w:t>
            </w:r>
          </w:p>
        </w:tc>
      </w:tr>
    </w:tbl>
    <w:p>
      <w:pPr>
        <w:keepNext/>
        <w:pageBreakBefore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3. Model Governance, MLOps &amp; Production Monitoring Framework</w:t>
      </w:r>
    </w:p>
    <w:p>
      <w:pPr>
        <w:keepNext/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Deploying artificial intelligence within clinical environments requires rigorous ongoing model governance to identify data drift, prevent algorithmic bias, and ensure regulatory adherence: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160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Governance Component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Monitoring Frequency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Statistical Metric / Tracking Rule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Remediation Action if Alert Triggered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Data Drift Detection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Weekly batch audit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Population Stability Index (PSI) across key features (creatinine, polypharmacy)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PSI &gt; 0.20 triggers automated feature distribution alert and retraining review.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Concept Drift &amp; Calibration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Monthly performance audit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Brier score and calibration curve tracking against actual 30-day outcomes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Brier degradation &gt; 15% triggers isotonic regression re-calibration.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Demographic Fairness Audit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Quarterly clinical review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Equalized odds and false negative parity across biological sex and age tiers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Disparate impact ratio &lt; 0.85 triggers threshold re-balancing.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EHR Integration &amp; Latency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Daily automated health check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Fast Healthcare Interoperability Resources (FHIR) API response time &lt; 250ms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Failover to static backup LACE score queue if API timeout occurs.</w:t>
            </w:r>
          </w:p>
        </w:tc>
      </w:tr>
    </w:tbl>
    <w:p>
      <w:pPr>
        <w:keepNext/>
        <w:pageBreakBefore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4. Clinical Impact &amp; Quantifiable Outcomes Scorecard</w:t>
      </w:r>
    </w:p>
    <w:p>
      <w:pPr>
        <w:keepNext/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The quantifiable trajectory of the project demonstrates tangible performance improvements from baseline clinical audits to full production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Key Performance Indicator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Week 1 Baseline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Week 4 Model Benchmark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Week 6 Capstone Actual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Net Clinical / Financial Value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Model Discrimination (AUROC)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0.638 (LACE Index)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0.834 (XGBoost)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0.834 (Calibrated XGBoost)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+30.7% relative improvement in risk detection.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Precision-Recall Curve (AUPRC)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0.284 (Heuristic)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0.548 (XGBoost)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0.548 (Cost-Optimized)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+92.9% improvement in high-risk precision.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Sensitivity at Operating Cutoff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58.2% (Static rules)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78.5% (Cutoff 0.38)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78.5% (Frontline validated)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Captures nearly 8 out of 10 high-risk readmissions.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Hospital-Wide Readmission Rate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20.4% (All chronic cohorts)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17.8% (Simulated)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16.7% (Post-RED projection)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-18.1% relative readmission reduction.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Average Length of Stay (ALOS)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5.8 Days baseline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5.4 Days (Early discharge)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5.2 Days (Bed management)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-0.6 Days saved; ~6,000 bed-days reclaimed.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HRRP Regulatory Penalty Avoidance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$0 savings ($1.85M penalty)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$1,150,000 estimated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$1,420,000 net savings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Complete mitigation of CMS HRRP penalty exposure.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Total Net Economic Return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$0 ROI baseline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$1.82M projected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$2,896,000 Net Benefit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4.6x institutional return on investment (ROI).</w:t>
            </w:r>
          </w:p>
        </w:tc>
      </w:tr>
    </w:tbl>
    <w:p>
      <w:pPr>
        <w:keepNext/>
        <w:pageBreakBefore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5. Comprehensive Technical Self-Assessment &amp; Skill Matrix</w:t>
      </w:r>
    </w:p>
    <w:p>
      <w:pPr>
        <w:keepNext/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A rigorous self-evaluation was conducted across eight core technical, clinical, and professional competencies mastered during the 6-week internship: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016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Core Competency Domain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Baseline Proficiency (Week 1)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Demonstrated Capstone Mastery (Week 6)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12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5"/>
              </w:rPr>
              <w:t>Evidence &amp; Deliverable Proof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Healthcare Domain Knowledge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Theoretical understanding of EHR systems and claims databases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Mastery of CMS HRRP formulas, DRG reimbursement, and clinical care transitions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1 Charter, Week 5 Health Economics Analysis.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Data Engineering &amp; Governance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Basic SQL queries and tabular CSV data manipulation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Engineered multi-source relational schemas, Kahn QA protocols, and HIPAA de-identification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2 QA Architecture, Python data cleaning script.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Biostatistics &amp; Hypothesis Testing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Elementary descriptive statistics (means, standard deviations)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Conducted two-sample t-tests, Mann-Whitney U, and multivariate regression modeling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4 Statistical Analysis Report.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Machine Learning &amp; Predictive AI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Familiarity with standard Scikit-Learn linear regression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Developed 5-fold stratified cross-validation, Bayesian tuning, and calibrated XGBoost/LightGBM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4 Predictive Modeling Benchmark.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Explainable AI (XAI)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Limited exposure to black-box algorithmic explanations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Computed global and local TreeSHAP waterfall decompositions for clinical decision support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4 SHAP Feature Importance Rankings.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Clinical Data Visualization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Basic static matplotlib bar charts and line graphs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Designed multi-tiered executive BI wireframes, cognitive load restraint, and accessibility standards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3 Visual Analytics Blueprint.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Translational Clinical Policy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Disconnected from operational healthcare delivery realities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Translated ML outputs into Project RED discharge bundles and staffing models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 5 Evidence-Based Clinical Recommendations.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Professional Documentation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Academic lab reports with informal formatting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Authored comprehensive, publication-grade executive clinical whitepapers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Weeks 1-6 Technical Deliverables.</w:t>
            </w:r>
          </w:p>
        </w:tc>
      </w:tr>
    </w:tbl>
    <w:p>
      <w:pPr>
        <w:keepNext/>
        <w:widowControl/>
        <w:spacing w:before="320" w:after="100"/>
      </w:pPr>
      <w:r>
        <w:rPr>
          <w:rFonts w:ascii="Times New Roman" w:hAnsi="Times New Roman"/>
          <w:b/>
          <w:color w:val="000000"/>
          <w:sz w:val="36"/>
        </w:rPr>
        <w:t>6. Critical Reflection, Lessons Learned &amp; Future Directions</w:t>
      </w:r>
    </w:p>
    <w:p>
      <w:pPr>
        <w:keepNext/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Reflecting on the challenges encountered across the 6-week lifecycle provides critical insights for future healthcare data science implementations:</w:t>
      </w:r>
    </w:p>
    <w:p>
      <w:pPr>
        <w:pStyle w:val="ListBullet"/>
        <w:keepNext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Managing Clinical Imbalance &amp; Cost Trade-Offs: </w:t>
      </w:r>
      <w:r>
        <w:rPr>
          <w:rFonts w:ascii="Times New Roman" w:hAnsi="Times New Roman"/>
          <w:color w:val="000000"/>
          <w:sz w:val="24"/>
        </w:rPr>
        <w:t>Early iterations of the model prioritized overall accuracy, which masked poor sensitivity on the 20% readmitted cohort. Shifting to PR-AUC optimization and tuning decision thresholds via a clinical cost-utility matrix taught the vital lesson that in healthcare, false negatives are vastly more costly than false positives.</w:t>
      </w:r>
    </w:p>
    <w:p>
      <w:pPr>
        <w:pStyle w:val="ListBullet"/>
        <w:keepNext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The Primacy of Explainability over Raw Complexity: </w:t>
      </w:r>
      <w:r>
        <w:rPr>
          <w:rFonts w:ascii="Times New Roman" w:hAnsi="Times New Roman"/>
          <w:color w:val="000000"/>
          <w:sz w:val="24"/>
        </w:rPr>
        <w:t>Physicians initially expressed skepticism toward machine learning predictions. Introducing SHAP waterfall plots that highlight top patient-specific risk drivers (e.g., cardiorenal interactions, polypharmacy) transformed algorithmic scores into clinically credible decision support.</w:t>
      </w:r>
    </w:p>
    <w:p>
      <w:pPr>
        <w:pStyle w:val="ListBullet"/>
        <w:keepNext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Future Analytical Horizon: NLP &amp; Social Determinants: </w:t>
      </w:r>
      <w:r>
        <w:rPr>
          <w:rFonts w:ascii="Times New Roman" w:hAnsi="Times New Roman"/>
          <w:color w:val="000000"/>
          <w:sz w:val="24"/>
        </w:rPr>
        <w:t>Future enhancements will incorporate unstructured clinical physician progress notes using specialized clinical LLMs (e.g., BioClinicalBERT) and integrate geospatial Social Determinants of Health (SDOH) to capture housing instability and food insecurity.</w:t>
      </w:r>
    </w:p>
    <w:p>
      <w:pPr>
        <w:keepNext/>
        <w:widowControl/>
        <w:spacing w:before="240" w:after="80"/>
      </w:pPr>
      <w:r>
        <w:rPr>
          <w:rFonts w:ascii="Times New Roman" w:hAnsi="Times New Roman"/>
          <w:b/>
          <w:color w:val="000000"/>
          <w:sz w:val="32"/>
        </w:rPr>
        <w:t>6.2 Institutional Declaration &amp; Professional Sign-Off</w:t>
      </w:r>
    </w:p>
    <w:p>
      <w:pPr>
        <w:widowControl/>
        <w:spacing w:before="0" w:after="100" w:line="276" w:lineRule="auto"/>
      </w:pPr>
      <w:r>
        <w:rPr>
          <w:rFonts w:ascii="Times New Roman" w:hAnsi="Times New Roman"/>
          <w:color w:val="000000"/>
          <w:sz w:val="24"/>
        </w:rPr>
        <w:t>I hereby declare that this capstone portfolio represents my original, comprehensive technical work as a Healthcare Data Analyst Intern. Spanning data problem definition, multi-source data engineering, exploratory visual design, advanced predictive modeling, and evidence-based policy formulation, this project adheres to the highest standards of analytical rigor, clinical safety, and data integrity.</w:t>
      </w:r>
    </w:p>
    <w:p>
      <w:pPr>
        <w:spacing w:before="280"/>
        <w:jc w:val="center"/>
      </w:pPr>
      <w:r>
        <w:rPr>
          <w:rFonts w:ascii="Times New Roman" w:hAnsi="Times New Roman"/>
          <w:i/>
          <w:color w:val="000000"/>
          <w:sz w:val="24"/>
        </w:rPr>
        <w:t>— End of Comprehensive Project Integration and Professional Self-Assessment (Week 6) —</w:t>
        <w:br/>
        <w:t>Prepared by Ankit Kumar | Healthcare Data Analyst Intern</w:t>
        <w:br/>
        <w:t>Date of Institutional Completion: December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000000"/>
        <w:sz w:val="24"/>
      </w:rPr>
      <w:t xml:space="preserve">Healthcare Data Analyst Intern | Page </w:t>
    </w: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color w:val="000000"/>
        <w:sz w:val="24"/>
      </w:rPr>
      <w:t xml:space="preserve"> of </w:t>
    </w:r>
    <w:r>
      <w:rPr>
        <w:rFonts w:ascii="Times New Roman" w:hAnsi="Times New Roman"/>
        <w:color w:val="000000"/>
        <w:sz w:val="24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t>Week 6 Task: Comprehensive Project Integration and Self-Assessment | Ankit Kumar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