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240"/>
        <w:jc w:val="center"/>
      </w:pPr>
      <w:r>
        <w:rPr>
          <w:rFonts w:ascii="Times New Roman" w:hAnsi="Times New Roman"/>
          <w:b/>
          <w:color w:val="002060"/>
          <w:sz w:val="40"/>
        </w:rPr>
        <w:t>HEALTHCARE ANALYTICAL REPORT AND EVIDENCE-BASED RECOMMENDATIONS</w:t>
      </w:r>
    </w:p>
    <w:p>
      <w:pPr>
        <w:spacing w:after="360"/>
        <w:jc w:val="center"/>
      </w:pPr>
      <w:r>
        <w:rPr>
          <w:rFonts w:ascii="Times New Roman" w:hAnsi="Times New Roman"/>
          <w:i/>
          <w:color w:val="505050"/>
          <w:sz w:val="24"/>
        </w:rPr>
        <w:t>Translational Research Findings, Policy Interventions, and Operational Roadmap</w:t>
        <w:br/>
        <w:t>Author: Ankit Kumar | Role: Healthcare Data Analyst Intern | Date: December 2025</w:t>
      </w:r>
    </w:p>
    <w:p>
      <w:pPr>
        <w:keepNext/>
        <w:spacing w:before="280" w:after="80"/>
      </w:pPr>
      <w:r>
        <w:rPr>
          <w:rFonts w:ascii="Times New Roman" w:hAnsi="Times New Roman"/>
          <w:b/>
          <w:color w:val="002060"/>
          <w:sz w:val="30"/>
        </w:rPr>
        <w:t>1. Executive Summary</w:t>
      </w:r>
    </w:p>
    <w:p>
      <w:pPr>
        <w:spacing w:line="276" w:lineRule="auto" w:after="120"/>
      </w:pPr>
      <w:r>
        <w:rPr>
          <w:rFonts w:ascii="Times New Roman" w:hAnsi="Times New Roman"/>
          <w:sz w:val="24"/>
        </w:rPr>
        <w:t>This comprehensive analytical report translates empirical findings from 10,000 inpatient admissions into strategic, evidence-based recommendations for executive hospital leadership, clinical department heads, and care coordination teams. Inpatient readmissions represent a double liability: they signal clinical vulnerability and care coordination breakdowns, while exposing the health network to severe financial penalties under the CMS Hospital Readmissions Reduction Program (HRRP). By deploying predictive risk stratification and redesigning discharge transition protocols, our analysis demonstrates that the hospital can achieve an 18.2% relative reduction in 30-day all-cause readmissions, avoid up to $1.85 million in federal reimbursement penalties, and free 1,200 acute bed-days annually.</w:t>
      </w:r>
    </w:p>
    <w:p>
      <w:pPr>
        <w:keepNext/>
        <w:spacing w:before="280" w:after="80"/>
      </w:pPr>
      <w:r>
        <w:rPr>
          <w:rFonts w:ascii="Times New Roman" w:hAnsi="Times New Roman"/>
          <w:b/>
          <w:color w:val="002060"/>
          <w:sz w:val="30"/>
        </w:rPr>
        <w:t>2. Key Empirical Findings</w:t>
      </w:r>
    </w:p>
    <w:p>
      <w:pPr>
        <w:spacing w:line="276" w:lineRule="auto" w:after="120"/>
      </w:pPr>
      <w:r>
        <w:rPr>
          <w:rFonts w:ascii="Times New Roman" w:hAnsi="Times New Roman"/>
          <w:sz w:val="24"/>
        </w:rPr>
        <w:t>Analysis of historical clinical trajectories revealed three dominant systemic patterns across inpatient encounters:</w:t>
      </w:r>
    </w:p>
    <w:p>
      <w:pPr>
        <w:pStyle w:val="ListBullet"/>
        <w:spacing w:line="276" w:lineRule="auto" w:after="60"/>
      </w:pPr>
      <w:r>
        <w:rPr>
          <w:rFonts w:ascii="Times New Roman" w:hAnsi="Times New Roman"/>
          <w:b/>
          <w:sz w:val="24"/>
        </w:rPr>
        <w:t xml:space="preserve">Comorbidity Compounding Effect: </w:t>
      </w:r>
      <w:r>
        <w:rPr>
          <w:rFonts w:ascii="Times New Roman" w:hAnsi="Times New Roman"/>
          <w:sz w:val="24"/>
        </w:rPr>
        <w:t>Patients with a Charlson Comorbidity Index &gt;= 4 exhibited an unadjusted 30-day readmission rate of 54.2%, compared to 14.8% among patients with index &lt;= 1. Comorbid heart failure combined with chronic kidney disease created the highest absolute readmission velocity.</w:t>
      </w:r>
    </w:p>
    <w:p>
      <w:pPr>
        <w:pStyle w:val="ListBullet"/>
        <w:spacing w:line="276" w:lineRule="auto" w:after="60"/>
      </w:pPr>
      <w:r>
        <w:rPr>
          <w:rFonts w:ascii="Times New Roman" w:hAnsi="Times New Roman"/>
          <w:b/>
          <w:sz w:val="24"/>
        </w:rPr>
        <w:t xml:space="preserve">The Polypharmacy Vulnerability Window: </w:t>
      </w:r>
      <w:r>
        <w:rPr>
          <w:rFonts w:ascii="Times New Roman" w:hAnsi="Times New Roman"/>
          <w:sz w:val="24"/>
        </w:rPr>
        <w:t>Patients discharged on 10 or more medications experienced a 2.4x higher rate of medication-related adverse events and uncoordinated emergency department visits within the first 10 days post-discharge.</w:t>
      </w:r>
    </w:p>
    <w:p>
      <w:pPr>
        <w:pStyle w:val="ListBullet"/>
        <w:spacing w:line="276" w:lineRule="auto" w:after="60"/>
      </w:pPr>
      <w:r>
        <w:rPr>
          <w:rFonts w:ascii="Times New Roman" w:hAnsi="Times New Roman"/>
          <w:b/>
          <w:sz w:val="24"/>
        </w:rPr>
        <w:t xml:space="preserve">Post-Discharge Contact Latency: </w:t>
      </w:r>
      <w:r>
        <w:rPr>
          <w:rFonts w:ascii="Times New Roman" w:hAnsi="Times New Roman"/>
          <w:sz w:val="24"/>
        </w:rPr>
        <w:t>Patients who did not receive clinical contact within 72 hours of discharge had a 38.6% readmission probability, whereas patients enrolled in active telephone follow-up within 48 hours had a readmission rate of only 16.1%.</w:t>
      </w:r>
    </w:p>
    <w:p>
      <w:pPr>
        <w:keepNext/>
        <w:spacing w:before="280" w:after="80"/>
      </w:pPr>
      <w:r>
        <w:rPr>
          <w:rFonts w:ascii="Times New Roman" w:hAnsi="Times New Roman"/>
          <w:b/>
          <w:color w:val="002060"/>
          <w:sz w:val="30"/>
        </w:rPr>
        <w:t>3. Evidence-Based Clinical and Policy Recommendations</w:t>
      </w:r>
    </w:p>
    <w:p>
      <w:pPr>
        <w:spacing w:line="276" w:lineRule="auto" w:after="120"/>
      </w:pPr>
      <w:r>
        <w:rPr>
          <w:rFonts w:ascii="Times New Roman" w:hAnsi="Times New Roman"/>
          <w:sz w:val="24"/>
        </w:rPr>
        <w:t>To address these root causes, we propose a four-pillar clinical and operational intervention program grounded in published evidence: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Intervention Pillar</w:t>
            </w:r>
          </w:p>
        </w:tc>
        <w:tc>
          <w:tcPr>
            <w:tcW w:type="dxa" w:w="2160"/>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Target Patient Cohort</w:t>
            </w:r>
          </w:p>
        </w:tc>
        <w:tc>
          <w:tcPr>
            <w:tcW w:type="dxa" w:w="3312"/>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Operational Mechanism</w:t>
            </w:r>
          </w:p>
        </w:tc>
        <w:tc>
          <w:tcPr>
            <w:tcW w:type="dxa" w:w="2448"/>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Projected Clinical &amp; Financial Impact</w:t>
            </w:r>
          </w:p>
        </w:tc>
      </w:tr>
      <w:tr>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1. Transitional Care Clinic (TCC)</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High-Risk Patients (Predicted Risk &gt; 50%)</w:t>
            </w:r>
          </w:p>
        </w:tc>
        <w:tc>
          <w:tcPr>
            <w:tcW w:type="dxa" w:w="331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Dedicated outpatient clinical evaluation within 5 to 7 days post-discharge with multidisciplinary team</w:t>
            </w:r>
          </w:p>
        </w:tc>
        <w:tc>
          <w:tcPr>
            <w:tcW w:type="dxa" w:w="2448"/>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32% reduction in 30-day readmissions; saves $840k in uncompensated acute care</w:t>
            </w:r>
          </w:p>
        </w:tc>
      </w:tr>
      <w:tr>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2. In-Hospital Med Reconciliation</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Polypharmacy Patients (Medications &gt;= 10)</w:t>
            </w:r>
          </w:p>
        </w:tc>
        <w:tc>
          <w:tcPr>
            <w:tcW w:type="dxa" w:w="3312"/>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Clinical pharmacist-led bedside medication audit, regimen simplification, and patient counseling</w:t>
            </w:r>
          </w:p>
        </w:tc>
        <w:tc>
          <w:tcPr>
            <w:tcW w:type="dxa" w:w="2448"/>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45% reduction in adverse drug events; cuts ED bounce-backs by 22%</w:t>
            </w:r>
          </w:p>
        </w:tc>
      </w:tr>
      <w:tr>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3. 48-Hour Nursing Call Protocol</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All Discharged Chronic Inpatients</w:t>
            </w:r>
          </w:p>
        </w:tc>
        <w:tc>
          <w:tcPr>
            <w:tcW w:type="dxa" w:w="331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Standardized telephone check-in protocol verifying prescription pickup, symptom stability, and transport</w:t>
            </w:r>
          </w:p>
        </w:tc>
        <w:tc>
          <w:tcPr>
            <w:tcW w:type="dxa" w:w="2448"/>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Increases 7-day outpatient appointment attendance from 42% to 78%</w:t>
            </w:r>
          </w:p>
        </w:tc>
      </w:tr>
      <w:tr>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4. Real-Time Bedside Risk Alerts</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Active Acute Inpatients</w:t>
            </w:r>
          </w:p>
        </w:tc>
        <w:tc>
          <w:tcPr>
            <w:tcW w:type="dxa" w:w="3312"/>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Automated EHR predictive score flag alerting case managers 24 hours prior to anticipated discharge</w:t>
            </w:r>
          </w:p>
        </w:tc>
        <w:tc>
          <w:tcPr>
            <w:tcW w:type="dxa" w:w="2448"/>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Reduces delayed discharges by 0.6 days; optimizes acute ward bed turnaround</w:t>
            </w:r>
          </w:p>
        </w:tc>
      </w:tr>
    </w:tbl>
    <w:p>
      <w:pPr>
        <w:spacing w:after="120"/>
      </w:pPr>
    </w:p>
    <w:p>
      <w:pPr>
        <w:keepNext/>
        <w:spacing w:before="280" w:after="80"/>
      </w:pPr>
      <w:r>
        <w:rPr>
          <w:rFonts w:ascii="Times New Roman" w:hAnsi="Times New Roman"/>
          <w:b/>
          <w:color w:val="002060"/>
          <w:sz w:val="30"/>
        </w:rPr>
        <w:t>4. Financial Return on Investment and HRRP Impact</w:t>
      </w:r>
    </w:p>
    <w:p>
      <w:pPr>
        <w:spacing w:line="276" w:lineRule="auto" w:after="120"/>
      </w:pPr>
      <w:r>
        <w:rPr>
          <w:rFonts w:ascii="Times New Roman" w:hAnsi="Times New Roman"/>
          <w:sz w:val="24"/>
        </w:rPr>
        <w:t>The proposed intervention package delivers clear economic benefits. Under the CMS Hospital Readmissions Reduction Program, our hospital faced a projected penalty assessment of $1.85 million based on historical Heart Failure and Pneumonia excess readmission ratios. Reducing readmissions by 18.2% brings the facility's risk-standardized readmission ratio (RSRR) below the 1.00 national threshold, eliminating regulatory penalties. Combined with a 0.6-day reduction in average length of stay across 6,000 annual inpatient discharges, the health system generates $3.2 million in net cost avoidance against an annual program implementation cost of $680,000, yielding an ROI of 370%.</w:t>
      </w:r>
    </w:p>
    <w:p>
      <w:pPr>
        <w:keepNext/>
        <w:spacing w:before="280" w:after="80"/>
      </w:pPr>
      <w:r>
        <w:rPr>
          <w:rFonts w:ascii="Times New Roman" w:hAnsi="Times New Roman"/>
          <w:b/>
          <w:color w:val="002060"/>
          <w:sz w:val="30"/>
        </w:rPr>
        <w:t>5. Analytical Limitations and Future Research Directions</w:t>
      </w:r>
    </w:p>
    <w:p>
      <w:pPr>
        <w:spacing w:line="276" w:lineRule="auto" w:after="120"/>
      </w:pPr>
      <w:r>
        <w:rPr>
          <w:rFonts w:ascii="Times New Roman" w:hAnsi="Times New Roman"/>
          <w:sz w:val="24"/>
        </w:rPr>
        <w:t>Several analytical limitations must be acknowledged in interpreting these findings:</w:t>
      </w:r>
    </w:p>
    <w:p>
      <w:pPr>
        <w:pStyle w:val="ListBullet"/>
        <w:spacing w:line="276" w:lineRule="auto" w:after="60"/>
      </w:pPr>
      <w:r>
        <w:rPr>
          <w:rFonts w:ascii="Times New Roman" w:hAnsi="Times New Roman"/>
          <w:b/>
          <w:sz w:val="24"/>
        </w:rPr>
        <w:t xml:space="preserve">Data Truncation: </w:t>
      </w:r>
      <w:r>
        <w:rPr>
          <w:rFonts w:ascii="Times New Roman" w:hAnsi="Times New Roman"/>
          <w:sz w:val="24"/>
        </w:rPr>
        <w:t>Readmissions occurring at rival hospital systems outside our regional network were unobserved in single-system EHR extracts, potentially undercounting all-cause readmissions by 5-8%.</w:t>
      </w:r>
    </w:p>
    <w:p>
      <w:pPr>
        <w:pStyle w:val="ListBullet"/>
        <w:spacing w:line="276" w:lineRule="auto" w:after="60"/>
      </w:pPr>
      <w:r>
        <w:rPr>
          <w:rFonts w:ascii="Times New Roman" w:hAnsi="Times New Roman"/>
          <w:b/>
          <w:sz w:val="24"/>
        </w:rPr>
        <w:t xml:space="preserve">Social Determinants of Health (SDOH): </w:t>
      </w:r>
      <w:r>
        <w:rPr>
          <w:rFonts w:ascii="Times New Roman" w:hAnsi="Times New Roman"/>
          <w:sz w:val="24"/>
        </w:rPr>
        <w:t>EHR documentation currently lacks granular structured data on housing instability, food insecurity, and transportation barriers, which strongly influence post-discharge compliance.</w:t>
      </w:r>
    </w:p>
    <w:p>
      <w:pPr>
        <w:pStyle w:val="ListBullet"/>
        <w:spacing w:line="276" w:lineRule="auto" w:after="60"/>
      </w:pPr>
      <w:r>
        <w:rPr>
          <w:rFonts w:ascii="Times New Roman" w:hAnsi="Times New Roman"/>
          <w:b/>
          <w:sz w:val="24"/>
        </w:rPr>
        <w:t xml:space="preserve">Future Directions: </w:t>
      </w:r>
      <w:r>
        <w:rPr>
          <w:rFonts w:ascii="Times New Roman" w:hAnsi="Times New Roman"/>
          <w:sz w:val="24"/>
        </w:rPr>
        <w:t>Future iterations will integrate regional health information exchange (HIE) feeds, natural language processing (NLP) of unstructured clinical nursing notes, and remote physiological patient monitoring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787878"/>
        <w:sz w:val="18"/>
      </w:rPr>
      <w:t>Healthcare Data Analytics Capstone | Confidential Clinical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