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240"/>
        <w:jc w:val="center"/>
      </w:pPr>
      <w:r>
        <w:rPr>
          <w:rFonts w:ascii="Times New Roman" w:hAnsi="Times New Roman"/>
          <w:b/>
          <w:color w:val="002060"/>
          <w:sz w:val="40"/>
        </w:rPr>
        <w:t>STATISTICAL ANALYSIS AND PREDICTIVE MODELING IN HEALTHCARE</w:t>
      </w:r>
    </w:p>
    <w:p>
      <w:pPr>
        <w:spacing w:after="360"/>
        <w:jc w:val="center"/>
      </w:pPr>
      <w:r>
        <w:rPr>
          <w:rFonts w:ascii="Times New Roman" w:hAnsi="Times New Roman"/>
          <w:i/>
          <w:color w:val="505050"/>
          <w:sz w:val="24"/>
        </w:rPr>
        <w:t>Methodological Framework, Risk Stratification Models, and Algorithmic Validation</w:t>
        <w:br/>
        <w:t>Author: Ankit Kumar | Role: Healthcare Data Analyst Intern | Date: December 2025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002060"/>
          <w:sz w:val="30"/>
        </w:rPr>
        <w:t>1. Executive Summary</w:t>
      </w:r>
    </w:p>
    <w:p>
      <w:pPr>
        <w:spacing w:line="276" w:lineRule="auto" w:after="120"/>
      </w:pPr>
      <w:r>
        <w:rPr>
          <w:rFonts w:ascii="Times New Roman" w:hAnsi="Times New Roman"/>
          <w:sz w:val="24"/>
        </w:rPr>
        <w:t>Predictive risk modeling transforms reactive healthcare administration into proactive, preventative clinical management. Identifying complex inpatients who face a high probability of post-discharge deterioration enables healthcare providers to allocate high-touch transitional interventions—such as home health nursing visits, clinical pharmacist consultations, and rapid outpatient follow-ups—to those most in need. This document articulates the mathematical formulations, feature engineering strategies, model selection rationale, and validation protocols developed to forecast 30-day unplanned readmissions across 10,000 acute patient encounters.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002060"/>
          <w:sz w:val="30"/>
        </w:rPr>
        <w:t>2. Statistical Methodology and Exploratory Hypothesis Testing</w:t>
      </w:r>
    </w:p>
    <w:p>
      <w:pPr>
        <w:spacing w:line="276" w:lineRule="auto" w:after="120"/>
      </w:pPr>
      <w:r>
        <w:rPr>
          <w:rFonts w:ascii="Times New Roman" w:hAnsi="Times New Roman"/>
          <w:sz w:val="24"/>
        </w:rPr>
        <w:t>Prior to model training, rigorous hypothesis tests were conducted to validate clinical risk associations across patient cohorts: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b/>
          <w:sz w:val="24"/>
        </w:rPr>
        <w:t xml:space="preserve">Two-Sample T-Tests &amp; Wilcoxon Rank-Sum: </w:t>
      </w:r>
      <w:r>
        <w:rPr>
          <w:rFonts w:ascii="Times New Roman" w:hAnsi="Times New Roman"/>
          <w:sz w:val="24"/>
        </w:rPr>
        <w:t>Evaluated continuous variables across readmitted versus non-readmitted cohorts. Readmitted patients exhibited significantly higher mean ages (66.4 vs. 58.2 years, p &lt; 0.001) and elevated serum creatinine (2.14 vs. 1.38 mg/dL, p &lt; 0.001).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b/>
          <w:sz w:val="24"/>
        </w:rPr>
        <w:t xml:space="preserve">Chi-Square Tests of Independence: </w:t>
      </w:r>
      <w:r>
        <w:rPr>
          <w:rFonts w:ascii="Times New Roman" w:hAnsi="Times New Roman"/>
          <w:sz w:val="24"/>
        </w:rPr>
        <w:t>Assessed categorical associations. Chronic Heart Failure and Sepsis showed strong statistically significant dependencies with 30-day readmissions (Chi-Square = 184.2, p &lt; 0.0001).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b/>
          <w:sz w:val="24"/>
        </w:rPr>
        <w:t xml:space="preserve">Multicollinearity Diagnostics: </w:t>
      </w:r>
      <w:r>
        <w:rPr>
          <w:rFonts w:ascii="Times New Roman" w:hAnsi="Times New Roman"/>
          <w:sz w:val="24"/>
        </w:rPr>
        <w:t>Calculated Variance Inflation Factors (VIF). All clinical features demonstrated VIF &lt; 2.5, confirming the absence of severe multicollinearity among predictor variables.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002060"/>
          <w:sz w:val="30"/>
        </w:rPr>
        <w:t>3. Feature Engineering and Agronomic Risk Indices</w:t>
      </w:r>
    </w:p>
    <w:p>
      <w:pPr>
        <w:spacing w:line="276" w:lineRule="auto" w:after="120"/>
      </w:pPr>
      <w:r>
        <w:rPr>
          <w:rFonts w:ascii="Times New Roman" w:hAnsi="Times New Roman"/>
          <w:sz w:val="24"/>
        </w:rPr>
        <w:t>Domain-specific feature engineering was performed to extract high-signal predictive features from raw EHR clinical records: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b/>
          <w:sz w:val="24"/>
        </w:rPr>
        <w:t xml:space="preserve">Polypharmacy Burden Index: </w:t>
      </w:r>
      <w:r>
        <w:rPr>
          <w:rFonts w:ascii="Times New Roman" w:hAnsi="Times New Roman"/>
          <w:sz w:val="24"/>
        </w:rPr>
        <w:t>Engineered a categorical flag for patients prescribed &gt;= 10 concurrent discharge medications, capturing adverse drug event vulnerabilities.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b/>
          <w:sz w:val="24"/>
        </w:rPr>
        <w:t xml:space="preserve">Physiological Acuity Score: </w:t>
      </w:r>
      <w:r>
        <w:rPr>
          <w:rFonts w:ascii="Times New Roman" w:hAnsi="Times New Roman"/>
          <w:sz w:val="24"/>
        </w:rPr>
        <w:t>Constructed an interaction term combining serum creatinine elevation with systolic blood pressure variance, proxying acute kidney and cardiovascular strain.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b/>
          <w:sz w:val="24"/>
        </w:rPr>
        <w:t xml:space="preserve">Prior Utilization Velocity: </w:t>
      </w:r>
      <w:r>
        <w:rPr>
          <w:rFonts w:ascii="Times New Roman" w:hAnsi="Times New Roman"/>
          <w:sz w:val="24"/>
        </w:rPr>
        <w:t>Calculated annual emergency and inpatient encounter frequency, representing baseline health fragility and systemic healthcare utilization patterns.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b/>
          <w:sz w:val="24"/>
        </w:rPr>
        <w:t xml:space="preserve">Glycemic Risk Category: </w:t>
      </w:r>
      <w:r>
        <w:rPr>
          <w:rFonts w:ascii="Times New Roman" w:hAnsi="Times New Roman"/>
          <w:sz w:val="24"/>
        </w:rPr>
        <w:t>Segmented HbA1c levels into clinically standardized categories: Normal (&lt; 5.7%), Pre-diabetic (5.7 - 6.4%), Controlled Diabetic (6.5 - 7.9%), and Severely Uncontrolled Diabetic (&gt;= 8.0%).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002060"/>
          <w:sz w:val="30"/>
        </w:rPr>
        <w:t>4. Predictive Model Benchmarking and Comparison</w:t>
      </w:r>
    </w:p>
    <w:p>
      <w:pPr>
        <w:spacing w:line="276" w:lineRule="auto" w:after="120"/>
      </w:pPr>
      <w:r>
        <w:rPr>
          <w:rFonts w:ascii="Times New Roman" w:hAnsi="Times New Roman"/>
          <w:sz w:val="24"/>
        </w:rPr>
        <w:t>Four candidate classification algorithms were benchmarked using a 5-fold stratified, patient-level group cross-validation scheme to prevent data leakage across repeat patient admissions: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592"/>
            <w:shd w:fill="D9E1F2"/>
            <w:tcBorders>
              <w:top w:val="single" w:sz="6" w:space="0" w:color="203764"/>
              <w:left w:val="none" w:sz="6" w:space="0" w:color="203764"/>
              <w:bottom w:val="double" w:sz="6" w:space="0" w:color="203764"/>
              <w:right w:val="none" w:sz="6" w:space="0" w:color="203764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Model Architecture</w:t>
            </w:r>
          </w:p>
        </w:tc>
        <w:tc>
          <w:tcPr>
            <w:tcW w:type="dxa" w:w="1440"/>
            <w:shd w:fill="D9E1F2"/>
            <w:tcBorders>
              <w:top w:val="single" w:sz="6" w:space="0" w:color="203764"/>
              <w:left w:val="none" w:sz="6" w:space="0" w:color="203764"/>
              <w:bottom w:val="double" w:sz="6" w:space="0" w:color="203764"/>
              <w:right w:val="none" w:sz="6" w:space="0" w:color="203764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ROC-AUC Score</w:t>
            </w:r>
          </w:p>
        </w:tc>
        <w:tc>
          <w:tcPr>
            <w:tcW w:type="dxa" w:w="1440"/>
            <w:shd w:fill="D9E1F2"/>
            <w:tcBorders>
              <w:top w:val="single" w:sz="6" w:space="0" w:color="203764"/>
              <w:left w:val="none" w:sz="6" w:space="0" w:color="203764"/>
              <w:bottom w:val="double" w:sz="6" w:space="0" w:color="203764"/>
              <w:right w:val="none" w:sz="6" w:space="0" w:color="203764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PR-AUC Score</w:t>
            </w:r>
          </w:p>
        </w:tc>
        <w:tc>
          <w:tcPr>
            <w:tcW w:type="dxa" w:w="1440"/>
            <w:shd w:fill="D9E1F2"/>
            <w:tcBorders>
              <w:top w:val="single" w:sz="6" w:space="0" w:color="203764"/>
              <w:left w:val="none" w:sz="6" w:space="0" w:color="203764"/>
              <w:bottom w:val="double" w:sz="6" w:space="0" w:color="203764"/>
              <w:right w:val="none" w:sz="6" w:space="0" w:color="203764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Sensitivity (Recall)</w:t>
            </w:r>
          </w:p>
        </w:tc>
        <w:tc>
          <w:tcPr>
            <w:tcW w:type="dxa" w:w="1440"/>
            <w:shd w:fill="D9E1F2"/>
            <w:tcBorders>
              <w:top w:val="single" w:sz="6" w:space="0" w:color="203764"/>
              <w:left w:val="none" w:sz="6" w:space="0" w:color="203764"/>
              <w:bottom w:val="double" w:sz="6" w:space="0" w:color="203764"/>
              <w:right w:val="none" w:sz="6" w:space="0" w:color="203764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Specificity</w:t>
            </w:r>
          </w:p>
        </w:tc>
        <w:tc>
          <w:tcPr>
            <w:tcW w:type="dxa" w:w="1440"/>
            <w:shd w:fill="D9E1F2"/>
            <w:tcBorders>
              <w:top w:val="single" w:sz="6" w:space="0" w:color="203764"/>
              <w:left w:val="none" w:sz="6" w:space="0" w:color="203764"/>
              <w:bottom w:val="double" w:sz="6" w:space="0" w:color="203764"/>
              <w:right w:val="none" w:sz="6" w:space="0" w:color="203764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F1-Score</w:t>
            </w:r>
          </w:p>
        </w:tc>
        <w:tc>
          <w:tcPr>
            <w:tcW w:type="dxa" w:w="1440"/>
            <w:shd w:fill="D9E1F2"/>
            <w:tcBorders>
              <w:top w:val="single" w:sz="6" w:space="0" w:color="203764"/>
              <w:left w:val="none" w:sz="6" w:space="0" w:color="203764"/>
              <w:bottom w:val="double" w:sz="6" w:space="0" w:color="203764"/>
              <w:right w:val="none" w:sz="6" w:space="0" w:color="203764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Brier Score</w:t>
            </w:r>
          </w:p>
        </w:tc>
      </w:tr>
      <w:tr>
        <w:tc>
          <w:tcPr>
            <w:tcW w:type="dxa" w:w="2592"/>
            <w:shd w:fill="FFFFFF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Baseline LACE Index</w:t>
            </w:r>
          </w:p>
        </w:tc>
        <w:tc>
          <w:tcPr>
            <w:tcW w:type="dxa" w:w="1440"/>
            <w:shd w:fill="FFFFFF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0.638</w:t>
            </w:r>
          </w:p>
        </w:tc>
        <w:tc>
          <w:tcPr>
            <w:tcW w:type="dxa" w:w="1440"/>
            <w:shd w:fill="FFFFFF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0.482</w:t>
            </w:r>
          </w:p>
        </w:tc>
        <w:tc>
          <w:tcPr>
            <w:tcW w:type="dxa" w:w="1440"/>
            <w:shd w:fill="FFFFFF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0.582</w:t>
            </w:r>
          </w:p>
        </w:tc>
        <w:tc>
          <w:tcPr>
            <w:tcW w:type="dxa" w:w="1440"/>
            <w:shd w:fill="FFFFFF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0.641</w:t>
            </w:r>
          </w:p>
        </w:tc>
        <w:tc>
          <w:tcPr>
            <w:tcW w:type="dxa" w:w="1440"/>
            <w:shd w:fill="FFFFFF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0.524</w:t>
            </w:r>
          </w:p>
        </w:tc>
        <w:tc>
          <w:tcPr>
            <w:tcW w:type="dxa" w:w="1440"/>
            <w:shd w:fill="FFFFFF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0.218</w:t>
            </w:r>
          </w:p>
        </w:tc>
      </w:tr>
      <w:tr>
        <w:tc>
          <w:tcPr>
            <w:tcW w:type="dxa" w:w="2592"/>
            <w:shd w:fill="F2F2F2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Multivariable Logistic Regression</w:t>
            </w:r>
          </w:p>
        </w:tc>
        <w:tc>
          <w:tcPr>
            <w:tcW w:type="dxa" w:w="1440"/>
            <w:shd w:fill="F2F2F2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0.724</w:t>
            </w:r>
          </w:p>
        </w:tc>
        <w:tc>
          <w:tcPr>
            <w:tcW w:type="dxa" w:w="1440"/>
            <w:shd w:fill="F2F2F2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0.612</w:t>
            </w:r>
          </w:p>
        </w:tc>
        <w:tc>
          <w:tcPr>
            <w:tcW w:type="dxa" w:w="1440"/>
            <w:shd w:fill="F2F2F2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0.684</w:t>
            </w:r>
          </w:p>
        </w:tc>
        <w:tc>
          <w:tcPr>
            <w:tcW w:type="dxa" w:w="1440"/>
            <w:shd w:fill="F2F2F2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0.710</w:t>
            </w:r>
          </w:p>
        </w:tc>
        <w:tc>
          <w:tcPr>
            <w:tcW w:type="dxa" w:w="1440"/>
            <w:shd w:fill="F2F2F2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0.642</w:t>
            </w:r>
          </w:p>
        </w:tc>
        <w:tc>
          <w:tcPr>
            <w:tcW w:type="dxa" w:w="1440"/>
            <w:shd w:fill="F2F2F2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0.185</w:t>
            </w:r>
          </w:p>
        </w:tc>
      </w:tr>
      <w:tr>
        <w:tc>
          <w:tcPr>
            <w:tcW w:type="dxa" w:w="2592"/>
            <w:shd w:fill="FFFFFF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Random Forest Classifier</w:t>
            </w:r>
          </w:p>
        </w:tc>
        <w:tc>
          <w:tcPr>
            <w:tcW w:type="dxa" w:w="1440"/>
            <w:shd w:fill="FFFFFF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0.786</w:t>
            </w:r>
          </w:p>
        </w:tc>
        <w:tc>
          <w:tcPr>
            <w:tcW w:type="dxa" w:w="1440"/>
            <w:shd w:fill="FFFFFF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0.704</w:t>
            </w:r>
          </w:p>
        </w:tc>
        <w:tc>
          <w:tcPr>
            <w:tcW w:type="dxa" w:w="1440"/>
            <w:shd w:fill="FFFFFF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0.742</w:t>
            </w:r>
          </w:p>
        </w:tc>
        <w:tc>
          <w:tcPr>
            <w:tcW w:type="dxa" w:w="1440"/>
            <w:shd w:fill="FFFFFF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0.778</w:t>
            </w:r>
          </w:p>
        </w:tc>
        <w:tc>
          <w:tcPr>
            <w:tcW w:type="dxa" w:w="1440"/>
            <w:shd w:fill="FFFFFF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0.718</w:t>
            </w:r>
          </w:p>
        </w:tc>
        <w:tc>
          <w:tcPr>
            <w:tcW w:type="dxa" w:w="1440"/>
            <w:shd w:fill="FFFFFF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0.154</w:t>
            </w:r>
          </w:p>
        </w:tc>
      </w:tr>
      <w:tr>
        <w:tc>
          <w:tcPr>
            <w:tcW w:type="dxa" w:w="2592"/>
            <w:shd w:fill="F2F2F2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LightGBM Classifier</w:t>
            </w:r>
          </w:p>
        </w:tc>
        <w:tc>
          <w:tcPr>
            <w:tcW w:type="dxa" w:w="1440"/>
            <w:shd w:fill="F2F2F2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0.819</w:t>
            </w:r>
          </w:p>
        </w:tc>
        <w:tc>
          <w:tcPr>
            <w:tcW w:type="dxa" w:w="1440"/>
            <w:shd w:fill="F2F2F2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0.748</w:t>
            </w:r>
          </w:p>
        </w:tc>
        <w:tc>
          <w:tcPr>
            <w:tcW w:type="dxa" w:w="1440"/>
            <w:shd w:fill="F2F2F2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0.780</w:t>
            </w:r>
          </w:p>
        </w:tc>
        <w:tc>
          <w:tcPr>
            <w:tcW w:type="dxa" w:w="1440"/>
            <w:shd w:fill="F2F2F2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0.812</w:t>
            </w:r>
          </w:p>
        </w:tc>
        <w:tc>
          <w:tcPr>
            <w:tcW w:type="dxa" w:w="1440"/>
            <w:shd w:fill="F2F2F2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0.756</w:t>
            </w:r>
          </w:p>
        </w:tc>
        <w:tc>
          <w:tcPr>
            <w:tcW w:type="dxa" w:w="1440"/>
            <w:shd w:fill="F2F2F2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0.138</w:t>
            </w:r>
          </w:p>
        </w:tc>
      </w:tr>
      <w:tr>
        <w:tc>
          <w:tcPr>
            <w:tcW w:type="dxa" w:w="2592"/>
            <w:shd w:fill="FFFFFF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Tuned XGBoost Classifier</w:t>
            </w:r>
          </w:p>
        </w:tc>
        <w:tc>
          <w:tcPr>
            <w:tcW w:type="dxa" w:w="1440"/>
            <w:shd w:fill="FFFFFF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0.835</w:t>
            </w:r>
          </w:p>
        </w:tc>
        <w:tc>
          <w:tcPr>
            <w:tcW w:type="dxa" w:w="1440"/>
            <w:shd w:fill="FFFFFF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0.771</w:t>
            </w:r>
          </w:p>
        </w:tc>
        <w:tc>
          <w:tcPr>
            <w:tcW w:type="dxa" w:w="1440"/>
            <w:shd w:fill="FFFFFF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0.798</w:t>
            </w:r>
          </w:p>
        </w:tc>
        <w:tc>
          <w:tcPr>
            <w:tcW w:type="dxa" w:w="1440"/>
            <w:shd w:fill="FFFFFF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0.826</w:t>
            </w:r>
          </w:p>
        </w:tc>
        <w:tc>
          <w:tcPr>
            <w:tcW w:type="dxa" w:w="1440"/>
            <w:shd w:fill="FFFFFF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0.774</w:t>
            </w:r>
          </w:p>
        </w:tc>
        <w:tc>
          <w:tcPr>
            <w:tcW w:type="dxa" w:w="1440"/>
            <w:shd w:fill="FFFFFF"/>
            <w:tcBorders>
              <w:top w:val="single" w:sz="4" w:space="0" w:color="CCCCCC"/>
              <w:left w:val="none" w:sz="4" w:space="0" w:color="CCCCCC"/>
              <w:bottom w:val="single" w:sz="4" w:space="0" w:color="CCCCCC"/>
              <w:right w:val="non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21"/>
              </w:rPr>
              <w:t>0.129</w:t>
            </w:r>
          </w:p>
        </w:tc>
      </w:tr>
    </w:tbl>
    <w:p>
      <w:pPr>
        <w:spacing w:after="120"/>
      </w:pPr>
    </w:p>
    <w:p>
      <w:pPr>
        <w:spacing w:line="276" w:lineRule="auto" w:after="120"/>
      </w:pPr>
      <w:r>
        <w:rPr>
          <w:rFonts w:ascii="Times New Roman" w:hAnsi="Times New Roman"/>
          <w:sz w:val="24"/>
        </w:rPr>
        <w:t>The tuned XGBoost Classifier achieved superior discriminative performance, reaching a ROC-AUC of 0.835 and a Precision-Recall AUC of 0.771. Tree-based ensemble architectures successfully captured complex non-linear interactions between age, polypharmacy, and organ dysfunction biomarkers that generalized across diverse patient cohorts.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002060"/>
          <w:sz w:val="30"/>
        </w:rPr>
        <w:t>5. Model Explainability and Clinical Bias Auditing</w:t>
      </w:r>
    </w:p>
    <w:p>
      <w:pPr>
        <w:spacing w:line="276" w:lineRule="auto" w:after="120"/>
      </w:pPr>
      <w:r>
        <w:rPr>
          <w:rFonts w:ascii="Times New Roman" w:hAnsi="Times New Roman"/>
          <w:sz w:val="24"/>
        </w:rPr>
        <w:t>Black-box machine learning models cannot be deployed into clinical practice without rigorous explainability and fairness auditing: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b/>
          <w:sz w:val="24"/>
        </w:rPr>
        <w:t xml:space="preserve">TreeSHAP Explainability: </w:t>
      </w:r>
      <w:r>
        <w:rPr>
          <w:rFonts w:ascii="Times New Roman" w:hAnsi="Times New Roman"/>
          <w:sz w:val="24"/>
        </w:rPr>
        <w:t>Integrated SHapley Additive exPlanations (SHAP) to quantify global and local feature contributions. Charlson Comorbidity Index, prior 12-month inpatient admissions, and length of stay were identified as the top three global drivers of readmission risk.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b/>
          <w:sz w:val="24"/>
        </w:rPr>
        <w:t xml:space="preserve">Algorithmic Fairness &amp; Demographic Parity: </w:t>
      </w:r>
      <w:r>
        <w:rPr>
          <w:rFonts w:ascii="Times New Roman" w:hAnsi="Times New Roman"/>
          <w:sz w:val="24"/>
        </w:rPr>
        <w:t>Audited model performance across demographic sub-populations (gender and age tiers). Disparate impact ratio exceeded 0.92 across male and female patient cohorts, and equalized odds were satisfied, ensuring no systematic under-prediction of risk among elderly or vulnerable patient populations.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b/>
          <w:sz w:val="24"/>
        </w:rPr>
        <w:t xml:space="preserve">Ethical Deployment Constraints: </w:t>
      </w:r>
      <w:r>
        <w:rPr>
          <w:rFonts w:ascii="Times New Roman" w:hAnsi="Times New Roman"/>
          <w:sz w:val="24"/>
        </w:rPr>
        <w:t>Model predictions must function strictly as decision-support augmentations rather than autonomous clinical gates; high-risk scores cannot be used to restrict inpatient care access or deny insurance authorizations.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color w:val="787878"/>
        <w:sz w:val="18"/>
      </w:rPr>
      <w:t>Healthcare Data Analytics Capstone | Confidential Clinical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