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9E0" w:rsidRPr="009D7FC4" w:rsidRDefault="004E29E0" w:rsidP="004E29E0">
      <w:pPr>
        <w:pStyle w:val="NormalWeb"/>
      </w:pPr>
      <w:r w:rsidRPr="009D7FC4">
        <w:rPr>
          <w:rStyle w:val="Strong"/>
        </w:rPr>
        <w:t>What is RTGS System?</w:t>
      </w:r>
    </w:p>
    <w:p w:rsidR="001609A2" w:rsidRPr="009D7FC4" w:rsidRDefault="004E29E0" w:rsidP="004E29E0">
      <w:pPr>
        <w:pStyle w:val="NormalWeb"/>
      </w:pPr>
      <w:proofErr w:type="gramStart"/>
      <w:r w:rsidRPr="009D7FC4">
        <w:t>Ans.</w:t>
      </w:r>
      <w:proofErr w:type="gramEnd"/>
      <w:r w:rsidRPr="009D7FC4">
        <w:t xml:space="preserve"> The acronym 'RTGS' stands for Real Time Gross Settlement, which can be defined as the continuous (real-time) settlement of funds transfers individually on an order by order basis (without netting). 'Real Time' means the processing of instructions at the time they are received rather than at some later </w:t>
      </w:r>
      <w:r w:rsidR="009D7FC4" w:rsidRPr="009D7FC4">
        <w:t>time.’ Gross</w:t>
      </w:r>
      <w:r w:rsidRPr="009D7FC4">
        <w:t xml:space="preserve"> Settlement' means the settlement of funds transfer instructions occurs individually (on an instruction by instruction basis). </w:t>
      </w:r>
    </w:p>
    <w:p w:rsidR="003D7B14" w:rsidRPr="009D7FC4" w:rsidRDefault="003D7B14" w:rsidP="003D7B14">
      <w:pPr>
        <w:pStyle w:val="NormalWeb"/>
      </w:pPr>
      <w:r w:rsidRPr="009D7FC4">
        <w:rPr>
          <w:rStyle w:val="Strong"/>
        </w:rPr>
        <w:t>What is the time taken for effecting funds transfer from one account to another under RTGS?</w:t>
      </w:r>
    </w:p>
    <w:p w:rsidR="003D7B14" w:rsidRPr="009D7FC4" w:rsidRDefault="003D7B14" w:rsidP="003D7B14">
      <w:pPr>
        <w:pStyle w:val="NormalWeb"/>
      </w:pPr>
      <w:proofErr w:type="gramStart"/>
      <w:r w:rsidRPr="009D7FC4">
        <w:t>Ans.</w:t>
      </w:r>
      <w:proofErr w:type="gramEnd"/>
      <w:r w:rsidRPr="009D7FC4">
        <w:t xml:space="preserve"> Under normal circumstances the beneficiary branches are expected to receive the funds in real time as soon as funds are transferred by the remitting bank. The beneficiary bank has to credit the beneficiary's account within two hours of receiving the funds transfer message.</w:t>
      </w:r>
    </w:p>
    <w:p w:rsidR="00407851" w:rsidRDefault="00407851" w:rsidP="00536628"/>
    <w:p w:rsidR="00536628" w:rsidRDefault="00536628" w:rsidP="00536628">
      <w:r>
        <w:t xml:space="preserve">Payment Types supported for RTGS </w:t>
      </w:r>
      <w:r w:rsidR="000E15BB">
        <w:t>are:</w:t>
      </w:r>
    </w:p>
    <w:tbl>
      <w:tblPr>
        <w:tblW w:w="8190" w:type="dxa"/>
        <w:tblInd w:w="108" w:type="dxa"/>
        <w:tblBorders>
          <w:bottom w:val="single" w:sz="4" w:space="0" w:color="auto"/>
        </w:tblBorders>
        <w:tblLayout w:type="fixed"/>
        <w:tblLook w:val="00BF"/>
      </w:tblPr>
      <w:tblGrid>
        <w:gridCol w:w="2610"/>
        <w:gridCol w:w="5580"/>
      </w:tblGrid>
      <w:tr w:rsidR="00536628" w:rsidTr="00536628">
        <w:trPr>
          <w:cantSplit/>
          <w:tblHeader/>
        </w:trPr>
        <w:tc>
          <w:tcPr>
            <w:tcW w:w="2610" w:type="dxa"/>
            <w:tcBorders>
              <w:top w:val="nil"/>
              <w:left w:val="nil"/>
              <w:bottom w:val="nil"/>
              <w:right w:val="nil"/>
            </w:tcBorders>
            <w:shd w:val="clear" w:color="auto" w:fill="336699"/>
            <w:vAlign w:val="center"/>
            <w:hideMark/>
          </w:tcPr>
          <w:p w:rsidR="00536628" w:rsidRDefault="00536628">
            <w:pPr>
              <w:pStyle w:val="TableColumnHeading"/>
              <w:spacing w:before="120" w:after="120"/>
              <w:jc w:val="left"/>
              <w:rPr>
                <w:color w:val="FFFFFF"/>
                <w:sz w:val="20"/>
              </w:rPr>
            </w:pPr>
            <w:r>
              <w:rPr>
                <w:color w:val="FFFFFF"/>
                <w:sz w:val="20"/>
              </w:rPr>
              <w:t>Payment Type</w:t>
            </w:r>
          </w:p>
        </w:tc>
        <w:tc>
          <w:tcPr>
            <w:tcW w:w="5580" w:type="dxa"/>
            <w:tcBorders>
              <w:top w:val="nil"/>
              <w:left w:val="nil"/>
              <w:bottom w:val="nil"/>
              <w:right w:val="nil"/>
            </w:tcBorders>
            <w:shd w:val="clear" w:color="auto" w:fill="336699"/>
            <w:vAlign w:val="center"/>
            <w:hideMark/>
          </w:tcPr>
          <w:p w:rsidR="00536628" w:rsidRDefault="00536628">
            <w:pPr>
              <w:pStyle w:val="TableColumnHeading"/>
              <w:spacing w:before="120" w:after="120"/>
              <w:jc w:val="left"/>
              <w:rPr>
                <w:color w:val="FFFFFF"/>
                <w:sz w:val="20"/>
              </w:rPr>
            </w:pPr>
            <w:r>
              <w:rPr>
                <w:color w:val="FFFFFF"/>
                <w:sz w:val="20"/>
              </w:rPr>
              <w:t>Description</w:t>
            </w:r>
          </w:p>
        </w:tc>
      </w:tr>
      <w:tr w:rsidR="00536628" w:rsidTr="00536628">
        <w:trPr>
          <w:cantSplit/>
        </w:trPr>
        <w:tc>
          <w:tcPr>
            <w:tcW w:w="2610" w:type="dxa"/>
            <w:tcBorders>
              <w:top w:val="nil"/>
              <w:left w:val="nil"/>
              <w:bottom w:val="single" w:sz="4" w:space="0" w:color="CCCCCC"/>
              <w:right w:val="nil"/>
            </w:tcBorders>
            <w:shd w:val="clear" w:color="auto" w:fill="FFFFFF"/>
            <w:vAlign w:val="center"/>
            <w:hideMark/>
          </w:tcPr>
          <w:p w:rsidR="00536628" w:rsidRDefault="00536628">
            <w:pPr>
              <w:pStyle w:val="TableDetail"/>
              <w:spacing w:before="120" w:after="120"/>
              <w:rPr>
                <w:sz w:val="20"/>
                <w:szCs w:val="20"/>
                <w:lang w:val="en-US" w:eastAsia="en-US"/>
              </w:rPr>
            </w:pPr>
            <w:bookmarkStart w:id="0" w:name="_Hlk114889969"/>
            <w:r>
              <w:rPr>
                <w:sz w:val="20"/>
                <w:szCs w:val="20"/>
                <w:lang w:val="en-US" w:eastAsia="en-US"/>
              </w:rPr>
              <w:t>ACH</w:t>
            </w:r>
          </w:p>
        </w:tc>
        <w:tc>
          <w:tcPr>
            <w:tcW w:w="5580" w:type="dxa"/>
            <w:tcBorders>
              <w:top w:val="nil"/>
              <w:left w:val="nil"/>
              <w:bottom w:val="single" w:sz="4" w:space="0" w:color="CCCCCC"/>
              <w:right w:val="nil"/>
            </w:tcBorders>
            <w:shd w:val="clear" w:color="auto" w:fill="FFFFFF"/>
            <w:vAlign w:val="center"/>
            <w:hideMark/>
          </w:tcPr>
          <w:p w:rsidR="00536628" w:rsidRDefault="00536628">
            <w:pPr>
              <w:spacing w:before="120" w:after="120"/>
              <w:rPr>
                <w:rFonts w:ascii="Arial" w:hAnsi="Arial"/>
                <w:color w:val="666666"/>
                <w:sz w:val="20"/>
                <w:szCs w:val="20"/>
              </w:rPr>
            </w:pPr>
            <w:r>
              <w:rPr>
                <w:sz w:val="20"/>
                <w:szCs w:val="20"/>
              </w:rPr>
              <w:t>Single International ACH payment.</w:t>
            </w:r>
          </w:p>
        </w:tc>
      </w:tr>
      <w:tr w:rsidR="00536628" w:rsidTr="00536628">
        <w:trPr>
          <w:cantSplit/>
        </w:trPr>
        <w:tc>
          <w:tcPr>
            <w:tcW w:w="2610" w:type="dxa"/>
            <w:tcBorders>
              <w:top w:val="nil"/>
              <w:left w:val="nil"/>
              <w:bottom w:val="single" w:sz="4" w:space="0" w:color="CCCCCC"/>
              <w:right w:val="nil"/>
            </w:tcBorders>
            <w:shd w:val="clear" w:color="auto" w:fill="F3F3F3"/>
            <w:vAlign w:val="center"/>
            <w:hideMark/>
          </w:tcPr>
          <w:p w:rsidR="00536628" w:rsidRDefault="00536628">
            <w:pPr>
              <w:pStyle w:val="TableDetail"/>
              <w:spacing w:before="120" w:after="120"/>
              <w:rPr>
                <w:sz w:val="20"/>
                <w:szCs w:val="20"/>
                <w:lang w:val="en-US" w:eastAsia="en-US"/>
              </w:rPr>
            </w:pPr>
            <w:r>
              <w:rPr>
                <w:sz w:val="20"/>
                <w:szCs w:val="20"/>
                <w:lang w:val="en-US" w:eastAsia="en-US"/>
              </w:rPr>
              <w:t>Branch Wire - Domestic</w:t>
            </w:r>
          </w:p>
        </w:tc>
        <w:tc>
          <w:tcPr>
            <w:tcW w:w="5580" w:type="dxa"/>
            <w:tcBorders>
              <w:top w:val="nil"/>
              <w:left w:val="nil"/>
              <w:bottom w:val="single" w:sz="4" w:space="0" w:color="CCCCCC"/>
              <w:right w:val="nil"/>
            </w:tcBorders>
            <w:shd w:val="clear" w:color="auto" w:fill="F3F3F3"/>
            <w:vAlign w:val="center"/>
            <w:hideMark/>
          </w:tcPr>
          <w:p w:rsidR="00536628" w:rsidRDefault="000E15BB">
            <w:pPr>
              <w:spacing w:before="120" w:after="120"/>
              <w:rPr>
                <w:rFonts w:ascii="Arial" w:hAnsi="Arial"/>
                <w:color w:val="666666"/>
                <w:sz w:val="20"/>
                <w:szCs w:val="20"/>
              </w:rPr>
            </w:pPr>
            <w:proofErr w:type="spellStart"/>
            <w:r>
              <w:rPr>
                <w:sz w:val="20"/>
                <w:szCs w:val="20"/>
              </w:rPr>
              <w:t>Fedwire</w:t>
            </w:r>
            <w:proofErr w:type="spellEnd"/>
            <w:r w:rsidR="00536628">
              <w:rPr>
                <w:sz w:val="20"/>
                <w:szCs w:val="20"/>
              </w:rPr>
              <w:t xml:space="preserve"> </w:t>
            </w:r>
            <w:r w:rsidR="00086237">
              <w:rPr>
                <w:sz w:val="20"/>
                <w:szCs w:val="20"/>
              </w:rPr>
              <w:t>payment</w:t>
            </w:r>
            <w:r w:rsidR="00536628">
              <w:rPr>
                <w:sz w:val="20"/>
                <w:szCs w:val="20"/>
              </w:rPr>
              <w:t xml:space="preserve"> specialized for branch operations.</w:t>
            </w:r>
          </w:p>
        </w:tc>
      </w:tr>
      <w:tr w:rsidR="00536628" w:rsidTr="00536628">
        <w:trPr>
          <w:cantSplit/>
        </w:trPr>
        <w:tc>
          <w:tcPr>
            <w:tcW w:w="2610" w:type="dxa"/>
            <w:tcBorders>
              <w:top w:val="nil"/>
              <w:left w:val="nil"/>
              <w:bottom w:val="single" w:sz="4" w:space="0" w:color="CCCCCC"/>
              <w:right w:val="nil"/>
            </w:tcBorders>
            <w:shd w:val="clear" w:color="auto" w:fill="FFFFFF"/>
            <w:vAlign w:val="center"/>
            <w:hideMark/>
          </w:tcPr>
          <w:p w:rsidR="00536628" w:rsidRDefault="00536628">
            <w:pPr>
              <w:pStyle w:val="TableDetail"/>
              <w:spacing w:before="120" w:after="120"/>
              <w:rPr>
                <w:sz w:val="20"/>
                <w:szCs w:val="20"/>
                <w:lang w:val="en-US" w:eastAsia="en-US"/>
              </w:rPr>
            </w:pPr>
            <w:r>
              <w:rPr>
                <w:sz w:val="20"/>
                <w:szCs w:val="20"/>
                <w:lang w:val="en-US" w:eastAsia="en-US"/>
              </w:rPr>
              <w:t>Branch Wire - International</w:t>
            </w:r>
          </w:p>
        </w:tc>
        <w:tc>
          <w:tcPr>
            <w:tcW w:w="5580" w:type="dxa"/>
            <w:tcBorders>
              <w:top w:val="nil"/>
              <w:left w:val="nil"/>
              <w:bottom w:val="single" w:sz="4" w:space="0" w:color="CCCCCC"/>
              <w:right w:val="nil"/>
            </w:tcBorders>
            <w:shd w:val="clear" w:color="auto" w:fill="FFFFFF"/>
            <w:vAlign w:val="center"/>
            <w:hideMark/>
          </w:tcPr>
          <w:p w:rsidR="00536628" w:rsidRDefault="00536628">
            <w:pPr>
              <w:spacing w:before="120" w:after="120"/>
              <w:rPr>
                <w:rFonts w:ascii="Arial" w:hAnsi="Arial"/>
                <w:color w:val="666666"/>
                <w:sz w:val="20"/>
                <w:szCs w:val="20"/>
              </w:rPr>
            </w:pPr>
            <w:r>
              <w:rPr>
                <w:sz w:val="20"/>
                <w:szCs w:val="20"/>
              </w:rPr>
              <w:t xml:space="preserve">International </w:t>
            </w:r>
            <w:r w:rsidR="000E15BB">
              <w:rPr>
                <w:sz w:val="20"/>
                <w:szCs w:val="20"/>
              </w:rPr>
              <w:t>payment</w:t>
            </w:r>
            <w:r>
              <w:rPr>
                <w:sz w:val="20"/>
                <w:szCs w:val="20"/>
              </w:rPr>
              <w:t xml:space="preserve"> specialized for branch operations.</w:t>
            </w:r>
          </w:p>
        </w:tc>
      </w:tr>
      <w:tr w:rsidR="00536628" w:rsidTr="00536628">
        <w:trPr>
          <w:cantSplit/>
        </w:trPr>
        <w:tc>
          <w:tcPr>
            <w:tcW w:w="2610" w:type="dxa"/>
            <w:tcBorders>
              <w:top w:val="nil"/>
              <w:left w:val="nil"/>
              <w:bottom w:val="single" w:sz="4" w:space="0" w:color="CCCCCC"/>
              <w:right w:val="nil"/>
            </w:tcBorders>
            <w:shd w:val="clear" w:color="auto" w:fill="F3F3F3"/>
            <w:vAlign w:val="center"/>
            <w:hideMark/>
          </w:tcPr>
          <w:p w:rsidR="00536628" w:rsidRDefault="00536628">
            <w:pPr>
              <w:pStyle w:val="TableDetail"/>
              <w:spacing w:before="120" w:after="120"/>
              <w:rPr>
                <w:sz w:val="20"/>
                <w:szCs w:val="20"/>
                <w:lang w:val="en-US" w:eastAsia="en-US"/>
              </w:rPr>
            </w:pPr>
            <w:r>
              <w:rPr>
                <w:sz w:val="20"/>
                <w:szCs w:val="20"/>
                <w:lang w:val="en-US" w:eastAsia="en-US"/>
              </w:rPr>
              <w:t>Draft</w:t>
            </w:r>
          </w:p>
        </w:tc>
        <w:tc>
          <w:tcPr>
            <w:tcW w:w="5580" w:type="dxa"/>
            <w:tcBorders>
              <w:top w:val="nil"/>
              <w:left w:val="nil"/>
              <w:bottom w:val="single" w:sz="4" w:space="0" w:color="CCCCCC"/>
              <w:right w:val="nil"/>
            </w:tcBorders>
            <w:shd w:val="clear" w:color="auto" w:fill="F3F3F3"/>
            <w:vAlign w:val="center"/>
            <w:hideMark/>
          </w:tcPr>
          <w:p w:rsidR="00536628" w:rsidRDefault="00536628">
            <w:pPr>
              <w:spacing w:before="120" w:after="120"/>
              <w:rPr>
                <w:rFonts w:ascii="Arial" w:hAnsi="Arial"/>
                <w:color w:val="666666"/>
                <w:sz w:val="20"/>
                <w:szCs w:val="20"/>
              </w:rPr>
            </w:pPr>
            <w:r>
              <w:rPr>
                <w:sz w:val="20"/>
                <w:szCs w:val="20"/>
              </w:rPr>
              <w:t>Foreign Draft.</w:t>
            </w:r>
          </w:p>
        </w:tc>
      </w:tr>
      <w:tr w:rsidR="00536628" w:rsidTr="00536628">
        <w:trPr>
          <w:cantSplit/>
        </w:trPr>
        <w:tc>
          <w:tcPr>
            <w:tcW w:w="2610" w:type="dxa"/>
            <w:tcBorders>
              <w:top w:val="nil"/>
              <w:left w:val="nil"/>
              <w:bottom w:val="single" w:sz="4" w:space="0" w:color="CCCCCC"/>
              <w:right w:val="nil"/>
            </w:tcBorders>
            <w:shd w:val="clear" w:color="auto" w:fill="FFFFFF"/>
            <w:vAlign w:val="center"/>
            <w:hideMark/>
          </w:tcPr>
          <w:p w:rsidR="00536628" w:rsidRDefault="00536628">
            <w:pPr>
              <w:pStyle w:val="TableDetail"/>
              <w:spacing w:before="120" w:after="120"/>
              <w:rPr>
                <w:sz w:val="20"/>
                <w:szCs w:val="20"/>
                <w:lang w:val="en-US" w:eastAsia="en-US"/>
              </w:rPr>
            </w:pPr>
            <w:r>
              <w:rPr>
                <w:sz w:val="20"/>
                <w:szCs w:val="20"/>
                <w:lang w:val="en-US" w:eastAsia="en-US"/>
              </w:rPr>
              <w:t>Drawdown</w:t>
            </w:r>
          </w:p>
        </w:tc>
        <w:tc>
          <w:tcPr>
            <w:tcW w:w="5580" w:type="dxa"/>
            <w:tcBorders>
              <w:top w:val="nil"/>
              <w:left w:val="nil"/>
              <w:bottom w:val="single" w:sz="4" w:space="0" w:color="CCCCCC"/>
              <w:right w:val="nil"/>
            </w:tcBorders>
            <w:shd w:val="clear" w:color="auto" w:fill="FFFFFF"/>
            <w:vAlign w:val="center"/>
            <w:hideMark/>
          </w:tcPr>
          <w:p w:rsidR="00536628" w:rsidRDefault="00536628">
            <w:pPr>
              <w:spacing w:before="120" w:after="120"/>
              <w:rPr>
                <w:rFonts w:ascii="Arial" w:hAnsi="Arial"/>
                <w:color w:val="666666"/>
                <w:sz w:val="20"/>
                <w:szCs w:val="20"/>
              </w:rPr>
            </w:pPr>
            <w:proofErr w:type="spellStart"/>
            <w:r>
              <w:rPr>
                <w:sz w:val="20"/>
                <w:szCs w:val="20"/>
              </w:rPr>
              <w:t>Fedwire</w:t>
            </w:r>
            <w:proofErr w:type="spellEnd"/>
            <w:r>
              <w:rPr>
                <w:sz w:val="20"/>
                <w:szCs w:val="20"/>
              </w:rPr>
              <w:t xml:space="preserve"> drawdown.</w:t>
            </w:r>
          </w:p>
        </w:tc>
      </w:tr>
      <w:tr w:rsidR="00536628" w:rsidTr="00536628">
        <w:trPr>
          <w:cantSplit/>
        </w:trPr>
        <w:tc>
          <w:tcPr>
            <w:tcW w:w="2610" w:type="dxa"/>
            <w:tcBorders>
              <w:top w:val="nil"/>
              <w:left w:val="nil"/>
              <w:bottom w:val="single" w:sz="4" w:space="0" w:color="CCCCCC"/>
              <w:right w:val="nil"/>
            </w:tcBorders>
            <w:shd w:val="clear" w:color="auto" w:fill="F3F3F3"/>
            <w:vAlign w:val="center"/>
            <w:hideMark/>
          </w:tcPr>
          <w:p w:rsidR="00536628" w:rsidRDefault="00536628">
            <w:pPr>
              <w:pStyle w:val="TableDetail"/>
              <w:spacing w:before="120" w:after="120"/>
              <w:rPr>
                <w:sz w:val="20"/>
                <w:szCs w:val="20"/>
                <w:lang w:val="en-US" w:eastAsia="en-US"/>
              </w:rPr>
            </w:pPr>
            <w:r>
              <w:rPr>
                <w:sz w:val="20"/>
                <w:szCs w:val="20"/>
                <w:lang w:val="en-US" w:eastAsia="en-US"/>
              </w:rPr>
              <w:t>Institutional Transfer</w:t>
            </w:r>
          </w:p>
        </w:tc>
        <w:tc>
          <w:tcPr>
            <w:tcW w:w="5580" w:type="dxa"/>
            <w:tcBorders>
              <w:top w:val="nil"/>
              <w:left w:val="nil"/>
              <w:bottom w:val="single" w:sz="4" w:space="0" w:color="CCCCCC"/>
              <w:right w:val="nil"/>
            </w:tcBorders>
            <w:shd w:val="clear" w:color="auto" w:fill="F3F3F3"/>
            <w:vAlign w:val="center"/>
            <w:hideMark/>
          </w:tcPr>
          <w:p w:rsidR="00536628" w:rsidRDefault="00536628">
            <w:pPr>
              <w:pStyle w:val="TableDetail"/>
              <w:spacing w:before="120" w:after="120"/>
              <w:rPr>
                <w:sz w:val="20"/>
                <w:szCs w:val="20"/>
                <w:lang w:val="en-US" w:eastAsia="en-US"/>
              </w:rPr>
            </w:pPr>
            <w:r>
              <w:rPr>
                <w:sz w:val="20"/>
                <w:szCs w:val="20"/>
                <w:lang w:val="en-US" w:eastAsia="en-US"/>
              </w:rPr>
              <w:t>Transfer of funds between financial institutions modeled from a SWIFT MT202 message.</w:t>
            </w:r>
          </w:p>
        </w:tc>
      </w:tr>
      <w:tr w:rsidR="00536628" w:rsidTr="00536628">
        <w:trPr>
          <w:cantSplit/>
        </w:trPr>
        <w:tc>
          <w:tcPr>
            <w:tcW w:w="2610" w:type="dxa"/>
            <w:tcBorders>
              <w:top w:val="nil"/>
              <w:left w:val="nil"/>
              <w:bottom w:val="single" w:sz="4" w:space="0" w:color="CCCCCC"/>
              <w:right w:val="nil"/>
            </w:tcBorders>
            <w:shd w:val="clear" w:color="auto" w:fill="FFFFFF"/>
            <w:vAlign w:val="center"/>
            <w:hideMark/>
          </w:tcPr>
          <w:p w:rsidR="00536628" w:rsidRDefault="00536628">
            <w:pPr>
              <w:pStyle w:val="TableDetail"/>
              <w:spacing w:before="120" w:after="120"/>
              <w:rPr>
                <w:sz w:val="20"/>
                <w:szCs w:val="20"/>
                <w:lang w:val="en-US" w:eastAsia="en-US"/>
              </w:rPr>
            </w:pPr>
            <w:r>
              <w:rPr>
                <w:sz w:val="20"/>
                <w:szCs w:val="20"/>
                <w:lang w:val="en-US" w:eastAsia="en-US"/>
              </w:rPr>
              <w:t>Multi-Bank Payment</w:t>
            </w:r>
          </w:p>
        </w:tc>
        <w:tc>
          <w:tcPr>
            <w:tcW w:w="5580" w:type="dxa"/>
            <w:tcBorders>
              <w:top w:val="nil"/>
              <w:left w:val="nil"/>
              <w:bottom w:val="single" w:sz="4" w:space="0" w:color="CCCCCC"/>
              <w:right w:val="nil"/>
            </w:tcBorders>
            <w:shd w:val="clear" w:color="auto" w:fill="FFFFFF"/>
            <w:vAlign w:val="center"/>
            <w:hideMark/>
          </w:tcPr>
          <w:p w:rsidR="00536628" w:rsidRDefault="00536628">
            <w:pPr>
              <w:pStyle w:val="TableDetail"/>
              <w:spacing w:before="120" w:after="120"/>
              <w:rPr>
                <w:iCs/>
                <w:sz w:val="20"/>
                <w:szCs w:val="20"/>
                <w:lang w:val="en-US" w:eastAsia="en-US"/>
              </w:rPr>
            </w:pPr>
            <w:r>
              <w:rPr>
                <w:iCs/>
                <w:sz w:val="20"/>
                <w:szCs w:val="20"/>
                <w:lang w:val="en-US" w:eastAsia="en-US"/>
              </w:rPr>
              <w:t>Global wire, drawn on an external debit account modeled from a SWIFT MT101 message</w:t>
            </w:r>
          </w:p>
        </w:tc>
      </w:tr>
      <w:tr w:rsidR="00536628" w:rsidTr="00536628">
        <w:trPr>
          <w:cantSplit/>
        </w:trPr>
        <w:tc>
          <w:tcPr>
            <w:tcW w:w="2610" w:type="dxa"/>
            <w:tcBorders>
              <w:top w:val="nil"/>
              <w:left w:val="nil"/>
              <w:bottom w:val="single" w:sz="4" w:space="0" w:color="CCCCCC"/>
              <w:right w:val="nil"/>
            </w:tcBorders>
            <w:shd w:val="clear" w:color="auto" w:fill="F3F3F3"/>
            <w:vAlign w:val="center"/>
            <w:hideMark/>
          </w:tcPr>
          <w:p w:rsidR="00536628" w:rsidRDefault="00536628">
            <w:pPr>
              <w:pStyle w:val="TableDetail"/>
              <w:spacing w:before="120" w:after="120"/>
              <w:rPr>
                <w:sz w:val="20"/>
                <w:szCs w:val="20"/>
                <w:lang w:val="en-US" w:eastAsia="en-US"/>
              </w:rPr>
            </w:pPr>
            <w:r>
              <w:rPr>
                <w:sz w:val="20"/>
                <w:szCs w:val="20"/>
                <w:lang w:val="en-US" w:eastAsia="en-US"/>
              </w:rPr>
              <w:t>Notice To Receive</w:t>
            </w:r>
          </w:p>
        </w:tc>
        <w:tc>
          <w:tcPr>
            <w:tcW w:w="5580" w:type="dxa"/>
            <w:tcBorders>
              <w:top w:val="nil"/>
              <w:left w:val="nil"/>
              <w:bottom w:val="single" w:sz="4" w:space="0" w:color="CCCCCC"/>
              <w:right w:val="nil"/>
            </w:tcBorders>
            <w:shd w:val="clear" w:color="auto" w:fill="F3F3F3"/>
            <w:vAlign w:val="center"/>
            <w:hideMark/>
          </w:tcPr>
          <w:p w:rsidR="00536628" w:rsidRDefault="00536628">
            <w:pPr>
              <w:pStyle w:val="TableDetail"/>
              <w:spacing w:before="120" w:after="120"/>
              <w:rPr>
                <w:iCs/>
                <w:sz w:val="20"/>
                <w:szCs w:val="20"/>
                <w:lang w:val="en-US" w:eastAsia="en-US"/>
              </w:rPr>
            </w:pPr>
            <w:r>
              <w:rPr>
                <w:iCs/>
                <w:sz w:val="20"/>
                <w:szCs w:val="20"/>
                <w:lang w:val="en-US" w:eastAsia="en-US"/>
              </w:rPr>
              <w:t>Notice of receipt of funds modeled from the SWIFT MT201 Notice To Receive message.</w:t>
            </w:r>
          </w:p>
        </w:tc>
      </w:tr>
      <w:tr w:rsidR="00536628" w:rsidTr="00536628">
        <w:trPr>
          <w:cantSplit/>
        </w:trPr>
        <w:tc>
          <w:tcPr>
            <w:tcW w:w="2610" w:type="dxa"/>
            <w:tcBorders>
              <w:top w:val="nil"/>
              <w:left w:val="nil"/>
              <w:bottom w:val="single" w:sz="4" w:space="0" w:color="CCCCCC"/>
              <w:right w:val="nil"/>
            </w:tcBorders>
            <w:shd w:val="clear" w:color="auto" w:fill="FFFFFF"/>
            <w:vAlign w:val="center"/>
            <w:hideMark/>
          </w:tcPr>
          <w:p w:rsidR="00536628" w:rsidRDefault="00536628">
            <w:pPr>
              <w:pStyle w:val="TableDetail"/>
              <w:spacing w:before="120" w:after="120"/>
              <w:rPr>
                <w:sz w:val="20"/>
                <w:szCs w:val="20"/>
                <w:lang w:val="en-US" w:eastAsia="en-US"/>
              </w:rPr>
            </w:pPr>
            <w:r>
              <w:rPr>
                <w:sz w:val="20"/>
                <w:szCs w:val="20"/>
                <w:lang w:val="en-US" w:eastAsia="en-US"/>
              </w:rPr>
              <w:t>Transfer</w:t>
            </w:r>
          </w:p>
        </w:tc>
        <w:tc>
          <w:tcPr>
            <w:tcW w:w="5580" w:type="dxa"/>
            <w:tcBorders>
              <w:top w:val="nil"/>
              <w:left w:val="nil"/>
              <w:bottom w:val="single" w:sz="4" w:space="0" w:color="CCCCCC"/>
              <w:right w:val="nil"/>
            </w:tcBorders>
            <w:shd w:val="clear" w:color="auto" w:fill="FFFFFF"/>
            <w:vAlign w:val="center"/>
            <w:hideMark/>
          </w:tcPr>
          <w:p w:rsidR="00536628" w:rsidRDefault="00536628">
            <w:pPr>
              <w:pStyle w:val="TableDetail"/>
              <w:spacing w:before="120" w:after="120"/>
              <w:rPr>
                <w:sz w:val="20"/>
                <w:szCs w:val="20"/>
                <w:lang w:val="en-US" w:eastAsia="en-US"/>
              </w:rPr>
            </w:pPr>
            <w:r>
              <w:rPr>
                <w:sz w:val="20"/>
                <w:szCs w:val="20"/>
                <w:lang w:val="en-US" w:eastAsia="en-US"/>
              </w:rPr>
              <w:t>Transfer of funds between two accounts assigned to same user group.</w:t>
            </w:r>
          </w:p>
        </w:tc>
      </w:tr>
      <w:bookmarkEnd w:id="0"/>
      <w:tr w:rsidR="00536628" w:rsidTr="00536628">
        <w:trPr>
          <w:cantSplit/>
        </w:trPr>
        <w:tc>
          <w:tcPr>
            <w:tcW w:w="2610" w:type="dxa"/>
            <w:tcBorders>
              <w:top w:val="nil"/>
              <w:left w:val="nil"/>
              <w:bottom w:val="single" w:sz="4" w:space="0" w:color="CCCCCC"/>
              <w:right w:val="nil"/>
            </w:tcBorders>
            <w:shd w:val="clear" w:color="auto" w:fill="F3F3F3"/>
            <w:vAlign w:val="center"/>
            <w:hideMark/>
          </w:tcPr>
          <w:p w:rsidR="00536628" w:rsidRDefault="00536628">
            <w:pPr>
              <w:pStyle w:val="TableDetail"/>
              <w:spacing w:before="120" w:after="120"/>
              <w:rPr>
                <w:sz w:val="20"/>
                <w:szCs w:val="20"/>
                <w:lang w:val="en-US" w:eastAsia="en-US"/>
              </w:rPr>
            </w:pPr>
            <w:r>
              <w:rPr>
                <w:sz w:val="20"/>
                <w:szCs w:val="20"/>
                <w:lang w:val="en-US" w:eastAsia="en-US"/>
              </w:rPr>
              <w:t>Wires - Domestic</w:t>
            </w:r>
          </w:p>
        </w:tc>
        <w:tc>
          <w:tcPr>
            <w:tcW w:w="5580" w:type="dxa"/>
            <w:tcBorders>
              <w:top w:val="nil"/>
              <w:left w:val="nil"/>
              <w:bottom w:val="single" w:sz="4" w:space="0" w:color="CCCCCC"/>
              <w:right w:val="nil"/>
            </w:tcBorders>
            <w:shd w:val="clear" w:color="auto" w:fill="F3F3F3"/>
            <w:vAlign w:val="center"/>
            <w:hideMark/>
          </w:tcPr>
          <w:p w:rsidR="00536628" w:rsidRDefault="00536628">
            <w:pPr>
              <w:pStyle w:val="TableDetail"/>
              <w:spacing w:before="120" w:after="120"/>
              <w:rPr>
                <w:sz w:val="20"/>
                <w:szCs w:val="20"/>
                <w:lang w:val="en-US" w:eastAsia="en-US"/>
              </w:rPr>
            </w:pPr>
            <w:r>
              <w:rPr>
                <w:sz w:val="20"/>
                <w:szCs w:val="20"/>
                <w:lang w:val="en-US" w:eastAsia="en-US"/>
              </w:rPr>
              <w:t xml:space="preserve">Used for single currency domestic payments.  Currently supports US </w:t>
            </w:r>
            <w:proofErr w:type="spellStart"/>
            <w:r>
              <w:rPr>
                <w:sz w:val="20"/>
                <w:szCs w:val="20"/>
                <w:lang w:val="en-US" w:eastAsia="en-US"/>
              </w:rPr>
              <w:t>Fedwire</w:t>
            </w:r>
            <w:proofErr w:type="spellEnd"/>
            <w:r>
              <w:rPr>
                <w:sz w:val="20"/>
                <w:szCs w:val="20"/>
                <w:lang w:val="en-US" w:eastAsia="en-US"/>
              </w:rPr>
              <w:t xml:space="preserve"> payment.</w:t>
            </w:r>
          </w:p>
        </w:tc>
      </w:tr>
      <w:tr w:rsidR="00536628" w:rsidTr="00536628">
        <w:trPr>
          <w:cantSplit/>
        </w:trPr>
        <w:tc>
          <w:tcPr>
            <w:tcW w:w="2610" w:type="dxa"/>
            <w:tcBorders>
              <w:top w:val="nil"/>
              <w:left w:val="nil"/>
              <w:bottom w:val="single" w:sz="4" w:space="0" w:color="CCCCCC"/>
              <w:right w:val="nil"/>
            </w:tcBorders>
            <w:shd w:val="clear" w:color="auto" w:fill="FFFFFF"/>
            <w:vAlign w:val="center"/>
            <w:hideMark/>
          </w:tcPr>
          <w:p w:rsidR="00536628" w:rsidRDefault="00536628">
            <w:pPr>
              <w:pStyle w:val="TableDetail"/>
              <w:spacing w:before="120" w:after="120"/>
              <w:rPr>
                <w:sz w:val="20"/>
                <w:szCs w:val="20"/>
                <w:lang w:val="en-US" w:eastAsia="en-US"/>
              </w:rPr>
            </w:pPr>
            <w:r>
              <w:rPr>
                <w:sz w:val="20"/>
                <w:szCs w:val="20"/>
                <w:lang w:val="en-US" w:eastAsia="en-US"/>
              </w:rPr>
              <w:t>Wires - International</w:t>
            </w:r>
          </w:p>
        </w:tc>
        <w:tc>
          <w:tcPr>
            <w:tcW w:w="5580" w:type="dxa"/>
            <w:tcBorders>
              <w:top w:val="nil"/>
              <w:left w:val="nil"/>
              <w:bottom w:val="single" w:sz="4" w:space="0" w:color="CCCCCC"/>
              <w:right w:val="nil"/>
            </w:tcBorders>
            <w:shd w:val="clear" w:color="auto" w:fill="FFFFFF"/>
            <w:vAlign w:val="center"/>
            <w:hideMark/>
          </w:tcPr>
          <w:p w:rsidR="00536628" w:rsidRDefault="00536628">
            <w:pPr>
              <w:pStyle w:val="TableDetail"/>
              <w:spacing w:before="120" w:after="120"/>
              <w:rPr>
                <w:sz w:val="20"/>
                <w:szCs w:val="20"/>
                <w:lang w:val="en-US" w:eastAsia="en-US"/>
              </w:rPr>
            </w:pPr>
            <w:r>
              <w:rPr>
                <w:sz w:val="20"/>
                <w:szCs w:val="20"/>
                <w:lang w:val="en-US" w:eastAsia="en-US"/>
              </w:rPr>
              <w:t>Global wire.</w:t>
            </w:r>
          </w:p>
        </w:tc>
      </w:tr>
    </w:tbl>
    <w:p w:rsidR="00536628" w:rsidRDefault="00536628" w:rsidP="00536628">
      <w:pPr>
        <w:rPr>
          <w:rFonts w:ascii="Arial" w:hAnsi="Arial"/>
          <w:color w:val="666666"/>
          <w:sz w:val="23"/>
        </w:rPr>
      </w:pPr>
    </w:p>
    <w:p w:rsidR="00DC4C23" w:rsidRDefault="00DC4C23" w:rsidP="00776C08">
      <w:pPr>
        <w:rPr>
          <w:b/>
        </w:rPr>
      </w:pPr>
    </w:p>
    <w:p w:rsidR="00DC4C23" w:rsidRDefault="00DC4C23" w:rsidP="00776C08">
      <w:pPr>
        <w:rPr>
          <w:b/>
        </w:rPr>
      </w:pPr>
    </w:p>
    <w:p w:rsidR="00DC4C23" w:rsidRDefault="00DC4C23" w:rsidP="00776C08">
      <w:pPr>
        <w:rPr>
          <w:b/>
        </w:rPr>
      </w:pPr>
    </w:p>
    <w:p w:rsidR="00776C08" w:rsidRPr="009D7FC4" w:rsidRDefault="00776C08" w:rsidP="00776C08">
      <w:pPr>
        <w:rPr>
          <w:b/>
        </w:rPr>
      </w:pPr>
      <w:r w:rsidRPr="009D7FC4">
        <w:rPr>
          <w:b/>
        </w:rPr>
        <w:lastRenderedPageBreak/>
        <w:t>ACH vs. Wire Transfer -</w:t>
      </w:r>
    </w:p>
    <w:p w:rsidR="00776C08" w:rsidRPr="009D7FC4" w:rsidRDefault="00776C08" w:rsidP="00776C08"/>
    <w:p w:rsidR="00776C08" w:rsidRPr="009D7FC4" w:rsidRDefault="00776C08" w:rsidP="00776C08">
      <w:r w:rsidRPr="009D7FC4">
        <w:t>When you want to transfer money to your significant others, most especially if they are situated far away from your location, you need to consider a lot of things. First, you’ll ask yourself how you can transmit your funds. Second, you stumble upon several issues involving the timeframe for the funds to be credited to the recipient’s account, and the fees involved in the process. Having known all of these, most money senders opt for two methods of money transfer. These are the ACH and the wire transfer. So how do they differ?</w:t>
      </w:r>
    </w:p>
    <w:p w:rsidR="00776C08" w:rsidRPr="009D7FC4" w:rsidRDefault="00776C08" w:rsidP="00776C08"/>
    <w:p w:rsidR="00776C08" w:rsidRPr="009D7FC4" w:rsidRDefault="00776C08" w:rsidP="00776C08">
      <w:r w:rsidRPr="009D7FC4">
        <w:t>ACH, completely known as the Automated Clearing House transfer, has been a medium of fund transfer since1970. It was devised as an alternate to the usual issuance of checks. If an ACH transfer is initiated, the funds will be removed from the sender’s account in a day or less. With regard to the actual ACH transfer process, this happens in batches. This means that the bank transacts together all ACH transfer requests that happen within a given day. It is possible that requests for the day will be stored by the bank then processed the next day, and may be available the day after the bank’s processing. Thus, ACH transfers ideally take between 2 to 4 days. As a result, many companies have employed this medium to issue any recurring payments. With regard to cost, ACH transfers are relatively cheaper. Would you believe that some firms handle it for free? Nevertheless, the majority of banks charge a nominal fee.</w:t>
      </w:r>
    </w:p>
    <w:p w:rsidR="00776C08" w:rsidRPr="009D7FC4" w:rsidRDefault="00776C08" w:rsidP="00776C08"/>
    <w:p w:rsidR="00776C08" w:rsidRPr="009D7FC4" w:rsidRDefault="00776C08" w:rsidP="00776C08">
      <w:r w:rsidRPr="009D7FC4">
        <w:t>Conversely, wire transfer is the money transfer of choice for the majority of senders because of speed and reliability. Especially if you are transacting huge sums of money, you must make sure that your funds will really go to the recipient in real time. Hence, the wire transfer does away with the batch process. Most wire transfers are cleared within 24 hours. But, because of such a speedy feat, it has become more expensive. Also, the real time strategy paves the way to a faster transfer process. Faster processing would also directly imply a greater cost for the transaction.</w:t>
      </w:r>
    </w:p>
    <w:p w:rsidR="00776C08" w:rsidRPr="009D7FC4" w:rsidRDefault="00776C08" w:rsidP="00776C08"/>
    <w:p w:rsidR="00776C08" w:rsidRPr="009D7FC4" w:rsidRDefault="00776C08" w:rsidP="00776C08">
      <w:r w:rsidRPr="009D7FC4">
        <w:t>Overall, no matter what medium of transfer you’d like to use, make sure you know the consequences of your transactions, like the fees involved, as well as, the time it takes for your funds to reach your target recipient.</w:t>
      </w:r>
    </w:p>
    <w:p w:rsidR="00776C08" w:rsidRPr="009D7FC4" w:rsidRDefault="00776C08" w:rsidP="00776C08"/>
    <w:p w:rsidR="00776C08" w:rsidRPr="009D7FC4" w:rsidRDefault="00776C08" w:rsidP="00776C08">
      <w:r w:rsidRPr="009D7FC4">
        <w:t>1. ACH is a cheaper transaction than wire transfers.</w:t>
      </w:r>
    </w:p>
    <w:p w:rsidR="00776C08" w:rsidRPr="009D7FC4" w:rsidRDefault="00776C08" w:rsidP="00776C08"/>
    <w:p w:rsidR="00776C08" w:rsidRPr="009D7FC4" w:rsidRDefault="00776C08" w:rsidP="00776C08">
      <w:r w:rsidRPr="009D7FC4">
        <w:t>2. ACH is done through batch processing, whereas wire transfers are done real time.</w:t>
      </w:r>
    </w:p>
    <w:p w:rsidR="00776C08" w:rsidRPr="009D7FC4" w:rsidRDefault="00776C08" w:rsidP="00776C08"/>
    <w:p w:rsidR="00776C08" w:rsidRPr="009D7FC4" w:rsidRDefault="00776C08" w:rsidP="00776C08">
      <w:r w:rsidRPr="009D7FC4">
        <w:t>3. Wire transfers are the faster alternative to ACH transfers.</w:t>
      </w:r>
    </w:p>
    <w:p w:rsidR="00776C08" w:rsidRPr="009D7FC4" w:rsidRDefault="00776C08" w:rsidP="00776C08"/>
    <w:p w:rsidR="00776C08" w:rsidRDefault="00776C08" w:rsidP="00776C08">
      <w:r w:rsidRPr="009D7FC4">
        <w:t>4. Wire transfer is a lot safer when transacting larger sums of money.</w:t>
      </w:r>
    </w:p>
    <w:p w:rsidR="0086386D" w:rsidRPr="009D7FC4" w:rsidRDefault="0086386D" w:rsidP="00776C08"/>
    <w:sectPr w:rsidR="0086386D" w:rsidRPr="009D7FC4" w:rsidSect="00F769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A0CEF"/>
    <w:rsid w:val="00006706"/>
    <w:rsid w:val="00014A95"/>
    <w:rsid w:val="000155A7"/>
    <w:rsid w:val="00016644"/>
    <w:rsid w:val="00021E0D"/>
    <w:rsid w:val="000277A3"/>
    <w:rsid w:val="00035434"/>
    <w:rsid w:val="00040039"/>
    <w:rsid w:val="00042104"/>
    <w:rsid w:val="000560B6"/>
    <w:rsid w:val="000614B2"/>
    <w:rsid w:val="00061E16"/>
    <w:rsid w:val="00065243"/>
    <w:rsid w:val="00074630"/>
    <w:rsid w:val="00076C5F"/>
    <w:rsid w:val="00077EF3"/>
    <w:rsid w:val="000820F3"/>
    <w:rsid w:val="00086237"/>
    <w:rsid w:val="00086C61"/>
    <w:rsid w:val="00096846"/>
    <w:rsid w:val="000A0416"/>
    <w:rsid w:val="000B148E"/>
    <w:rsid w:val="000C4083"/>
    <w:rsid w:val="000C6AD6"/>
    <w:rsid w:val="000D48C7"/>
    <w:rsid w:val="000D640F"/>
    <w:rsid w:val="000E15BB"/>
    <w:rsid w:val="000F256B"/>
    <w:rsid w:val="000F371B"/>
    <w:rsid w:val="000F4E2C"/>
    <w:rsid w:val="000F52AC"/>
    <w:rsid w:val="00100C09"/>
    <w:rsid w:val="00100F55"/>
    <w:rsid w:val="00140AEB"/>
    <w:rsid w:val="001460AF"/>
    <w:rsid w:val="00155C60"/>
    <w:rsid w:val="001573C1"/>
    <w:rsid w:val="001609A2"/>
    <w:rsid w:val="00165512"/>
    <w:rsid w:val="00180DD5"/>
    <w:rsid w:val="0018741E"/>
    <w:rsid w:val="001912C2"/>
    <w:rsid w:val="001919E3"/>
    <w:rsid w:val="001935DC"/>
    <w:rsid w:val="0019777A"/>
    <w:rsid w:val="00197960"/>
    <w:rsid w:val="001A0CEF"/>
    <w:rsid w:val="001A0D90"/>
    <w:rsid w:val="001A1293"/>
    <w:rsid w:val="001A7DA1"/>
    <w:rsid w:val="001B2F95"/>
    <w:rsid w:val="001B34DB"/>
    <w:rsid w:val="001B3C84"/>
    <w:rsid w:val="001B4932"/>
    <w:rsid w:val="001C1168"/>
    <w:rsid w:val="001C4568"/>
    <w:rsid w:val="001C47E8"/>
    <w:rsid w:val="001C5EBE"/>
    <w:rsid w:val="001D22D8"/>
    <w:rsid w:val="001D55CA"/>
    <w:rsid w:val="001E3129"/>
    <w:rsid w:val="001E34A7"/>
    <w:rsid w:val="001E3A02"/>
    <w:rsid w:val="001E7198"/>
    <w:rsid w:val="00215F05"/>
    <w:rsid w:val="0021641D"/>
    <w:rsid w:val="002177E1"/>
    <w:rsid w:val="00217914"/>
    <w:rsid w:val="00222A1A"/>
    <w:rsid w:val="00225B87"/>
    <w:rsid w:val="00226CD2"/>
    <w:rsid w:val="00234724"/>
    <w:rsid w:val="00235137"/>
    <w:rsid w:val="002404FE"/>
    <w:rsid w:val="00243769"/>
    <w:rsid w:val="00245B3E"/>
    <w:rsid w:val="00246047"/>
    <w:rsid w:val="00256A18"/>
    <w:rsid w:val="00256D83"/>
    <w:rsid w:val="00273F73"/>
    <w:rsid w:val="00273F94"/>
    <w:rsid w:val="00284440"/>
    <w:rsid w:val="00286884"/>
    <w:rsid w:val="00292036"/>
    <w:rsid w:val="00295995"/>
    <w:rsid w:val="002A23FC"/>
    <w:rsid w:val="002A41F9"/>
    <w:rsid w:val="002A6843"/>
    <w:rsid w:val="002B07D3"/>
    <w:rsid w:val="002B4ED8"/>
    <w:rsid w:val="002B669F"/>
    <w:rsid w:val="002B6BCA"/>
    <w:rsid w:val="002B7B60"/>
    <w:rsid w:val="002C0698"/>
    <w:rsid w:val="002C3F4D"/>
    <w:rsid w:val="002E1275"/>
    <w:rsid w:val="002F4420"/>
    <w:rsid w:val="002F4D7A"/>
    <w:rsid w:val="002F5DB5"/>
    <w:rsid w:val="002F628D"/>
    <w:rsid w:val="003013AB"/>
    <w:rsid w:val="003014FC"/>
    <w:rsid w:val="00305E06"/>
    <w:rsid w:val="00310D1D"/>
    <w:rsid w:val="0031241D"/>
    <w:rsid w:val="00312641"/>
    <w:rsid w:val="0032679D"/>
    <w:rsid w:val="00340A0B"/>
    <w:rsid w:val="003412D8"/>
    <w:rsid w:val="00342680"/>
    <w:rsid w:val="0034283A"/>
    <w:rsid w:val="003429A5"/>
    <w:rsid w:val="00344B1A"/>
    <w:rsid w:val="003503BD"/>
    <w:rsid w:val="0035312E"/>
    <w:rsid w:val="0035314B"/>
    <w:rsid w:val="00355949"/>
    <w:rsid w:val="00360957"/>
    <w:rsid w:val="0036313E"/>
    <w:rsid w:val="00375B4A"/>
    <w:rsid w:val="003921BA"/>
    <w:rsid w:val="003934F2"/>
    <w:rsid w:val="003951A5"/>
    <w:rsid w:val="00397717"/>
    <w:rsid w:val="003B311E"/>
    <w:rsid w:val="003C2091"/>
    <w:rsid w:val="003C22DD"/>
    <w:rsid w:val="003D078F"/>
    <w:rsid w:val="003D1C3C"/>
    <w:rsid w:val="003D7B14"/>
    <w:rsid w:val="003E4C8C"/>
    <w:rsid w:val="003E555F"/>
    <w:rsid w:val="003F2F33"/>
    <w:rsid w:val="003F5C2D"/>
    <w:rsid w:val="003F6C1F"/>
    <w:rsid w:val="003F7959"/>
    <w:rsid w:val="0040569B"/>
    <w:rsid w:val="00407851"/>
    <w:rsid w:val="00410D49"/>
    <w:rsid w:val="00412742"/>
    <w:rsid w:val="00412930"/>
    <w:rsid w:val="004156BB"/>
    <w:rsid w:val="00416C7A"/>
    <w:rsid w:val="00417957"/>
    <w:rsid w:val="00421607"/>
    <w:rsid w:val="004219B8"/>
    <w:rsid w:val="004259D7"/>
    <w:rsid w:val="004337A7"/>
    <w:rsid w:val="00435EB7"/>
    <w:rsid w:val="00446508"/>
    <w:rsid w:val="00455591"/>
    <w:rsid w:val="0047330C"/>
    <w:rsid w:val="0047372C"/>
    <w:rsid w:val="00473C69"/>
    <w:rsid w:val="0047488A"/>
    <w:rsid w:val="00474E1F"/>
    <w:rsid w:val="00477F8D"/>
    <w:rsid w:val="004809EC"/>
    <w:rsid w:val="00483639"/>
    <w:rsid w:val="00493501"/>
    <w:rsid w:val="004A0F40"/>
    <w:rsid w:val="004A6C67"/>
    <w:rsid w:val="004C06B8"/>
    <w:rsid w:val="004C0870"/>
    <w:rsid w:val="004C1A0D"/>
    <w:rsid w:val="004C1C44"/>
    <w:rsid w:val="004C206B"/>
    <w:rsid w:val="004C362E"/>
    <w:rsid w:val="004D5AB2"/>
    <w:rsid w:val="004E00FA"/>
    <w:rsid w:val="004E29E0"/>
    <w:rsid w:val="004E34D8"/>
    <w:rsid w:val="004E4B5B"/>
    <w:rsid w:val="004E7383"/>
    <w:rsid w:val="004F2D65"/>
    <w:rsid w:val="004F2F18"/>
    <w:rsid w:val="004F5F13"/>
    <w:rsid w:val="00500FE7"/>
    <w:rsid w:val="00501D29"/>
    <w:rsid w:val="005034E7"/>
    <w:rsid w:val="00504724"/>
    <w:rsid w:val="005049AC"/>
    <w:rsid w:val="00514895"/>
    <w:rsid w:val="00520D90"/>
    <w:rsid w:val="005311C0"/>
    <w:rsid w:val="005322DA"/>
    <w:rsid w:val="0053397F"/>
    <w:rsid w:val="00535F52"/>
    <w:rsid w:val="00536628"/>
    <w:rsid w:val="00536A20"/>
    <w:rsid w:val="00544CAC"/>
    <w:rsid w:val="00547B8D"/>
    <w:rsid w:val="0055208A"/>
    <w:rsid w:val="00560C0D"/>
    <w:rsid w:val="005663D4"/>
    <w:rsid w:val="005744F0"/>
    <w:rsid w:val="00577E9F"/>
    <w:rsid w:val="005808FB"/>
    <w:rsid w:val="005825C2"/>
    <w:rsid w:val="005833B6"/>
    <w:rsid w:val="00584E1F"/>
    <w:rsid w:val="00585577"/>
    <w:rsid w:val="00591197"/>
    <w:rsid w:val="00591A9A"/>
    <w:rsid w:val="005926DC"/>
    <w:rsid w:val="00593C04"/>
    <w:rsid w:val="00596D41"/>
    <w:rsid w:val="005A0555"/>
    <w:rsid w:val="005A08F7"/>
    <w:rsid w:val="005A16FF"/>
    <w:rsid w:val="005A51F7"/>
    <w:rsid w:val="005B044B"/>
    <w:rsid w:val="005B2F0B"/>
    <w:rsid w:val="005B3179"/>
    <w:rsid w:val="005B3DD6"/>
    <w:rsid w:val="005C0D78"/>
    <w:rsid w:val="005C3EE5"/>
    <w:rsid w:val="005D053F"/>
    <w:rsid w:val="005D22D2"/>
    <w:rsid w:val="005D5BF3"/>
    <w:rsid w:val="005E33F7"/>
    <w:rsid w:val="005E611D"/>
    <w:rsid w:val="005E6D92"/>
    <w:rsid w:val="005F1CDB"/>
    <w:rsid w:val="005F26FB"/>
    <w:rsid w:val="005F28B6"/>
    <w:rsid w:val="005F4066"/>
    <w:rsid w:val="00604C06"/>
    <w:rsid w:val="00604F73"/>
    <w:rsid w:val="006052E2"/>
    <w:rsid w:val="00611004"/>
    <w:rsid w:val="00612CA8"/>
    <w:rsid w:val="00614747"/>
    <w:rsid w:val="00615036"/>
    <w:rsid w:val="006175C0"/>
    <w:rsid w:val="00621281"/>
    <w:rsid w:val="0062694D"/>
    <w:rsid w:val="00627A39"/>
    <w:rsid w:val="00630B60"/>
    <w:rsid w:val="00657BF2"/>
    <w:rsid w:val="00672FD3"/>
    <w:rsid w:val="00675E6E"/>
    <w:rsid w:val="00676633"/>
    <w:rsid w:val="00680BA3"/>
    <w:rsid w:val="00696757"/>
    <w:rsid w:val="006A3116"/>
    <w:rsid w:val="006B0F37"/>
    <w:rsid w:val="006B198E"/>
    <w:rsid w:val="006B6D90"/>
    <w:rsid w:val="006B7303"/>
    <w:rsid w:val="006C6590"/>
    <w:rsid w:val="006C75F5"/>
    <w:rsid w:val="006D0652"/>
    <w:rsid w:val="006D312C"/>
    <w:rsid w:val="006D5A07"/>
    <w:rsid w:val="006E124F"/>
    <w:rsid w:val="006E29CD"/>
    <w:rsid w:val="006E6531"/>
    <w:rsid w:val="006E707B"/>
    <w:rsid w:val="006E7472"/>
    <w:rsid w:val="006E7B97"/>
    <w:rsid w:val="006F0B7A"/>
    <w:rsid w:val="006F0CDF"/>
    <w:rsid w:val="006F162A"/>
    <w:rsid w:val="006F299D"/>
    <w:rsid w:val="006F4D01"/>
    <w:rsid w:val="006F6376"/>
    <w:rsid w:val="00702B26"/>
    <w:rsid w:val="007042CF"/>
    <w:rsid w:val="00705579"/>
    <w:rsid w:val="0072042B"/>
    <w:rsid w:val="00724464"/>
    <w:rsid w:val="00727A60"/>
    <w:rsid w:val="007307E6"/>
    <w:rsid w:val="00730FA1"/>
    <w:rsid w:val="00730FF1"/>
    <w:rsid w:val="00732459"/>
    <w:rsid w:val="00732A04"/>
    <w:rsid w:val="00745F27"/>
    <w:rsid w:val="00754C70"/>
    <w:rsid w:val="007557A1"/>
    <w:rsid w:val="00756E48"/>
    <w:rsid w:val="007614FE"/>
    <w:rsid w:val="00770192"/>
    <w:rsid w:val="00774750"/>
    <w:rsid w:val="00776C08"/>
    <w:rsid w:val="00780C88"/>
    <w:rsid w:val="00780CC6"/>
    <w:rsid w:val="00786ABB"/>
    <w:rsid w:val="00787485"/>
    <w:rsid w:val="00787FFD"/>
    <w:rsid w:val="00790AAF"/>
    <w:rsid w:val="00794EB9"/>
    <w:rsid w:val="007A010A"/>
    <w:rsid w:val="007A1D63"/>
    <w:rsid w:val="007A24BB"/>
    <w:rsid w:val="007A697D"/>
    <w:rsid w:val="007A6B77"/>
    <w:rsid w:val="007A756B"/>
    <w:rsid w:val="007B07A6"/>
    <w:rsid w:val="007B6EED"/>
    <w:rsid w:val="007C5172"/>
    <w:rsid w:val="007D2443"/>
    <w:rsid w:val="007D3B5A"/>
    <w:rsid w:val="007D52BD"/>
    <w:rsid w:val="007D62B6"/>
    <w:rsid w:val="007F2DA3"/>
    <w:rsid w:val="007F55E9"/>
    <w:rsid w:val="007F6C99"/>
    <w:rsid w:val="007F7B31"/>
    <w:rsid w:val="00800031"/>
    <w:rsid w:val="00800536"/>
    <w:rsid w:val="00802681"/>
    <w:rsid w:val="00802D95"/>
    <w:rsid w:val="008061F3"/>
    <w:rsid w:val="00812B5C"/>
    <w:rsid w:val="00813CFB"/>
    <w:rsid w:val="00815BA8"/>
    <w:rsid w:val="00826251"/>
    <w:rsid w:val="00827109"/>
    <w:rsid w:val="00841991"/>
    <w:rsid w:val="00850FC7"/>
    <w:rsid w:val="00857E6B"/>
    <w:rsid w:val="0086011E"/>
    <w:rsid w:val="00861A50"/>
    <w:rsid w:val="0086386D"/>
    <w:rsid w:val="0086792A"/>
    <w:rsid w:val="00873511"/>
    <w:rsid w:val="0088134D"/>
    <w:rsid w:val="0088444C"/>
    <w:rsid w:val="008A29C6"/>
    <w:rsid w:val="008A2DA4"/>
    <w:rsid w:val="008A3CF4"/>
    <w:rsid w:val="008A6BA2"/>
    <w:rsid w:val="008A6F9A"/>
    <w:rsid w:val="008B1743"/>
    <w:rsid w:val="008B1D29"/>
    <w:rsid w:val="008B7439"/>
    <w:rsid w:val="008D0EB3"/>
    <w:rsid w:val="008D7E8B"/>
    <w:rsid w:val="008E2CA1"/>
    <w:rsid w:val="008F37D4"/>
    <w:rsid w:val="008F4527"/>
    <w:rsid w:val="008F78B3"/>
    <w:rsid w:val="00904D73"/>
    <w:rsid w:val="009100BE"/>
    <w:rsid w:val="00913CA2"/>
    <w:rsid w:val="009149C9"/>
    <w:rsid w:val="00914E45"/>
    <w:rsid w:val="00916E84"/>
    <w:rsid w:val="009222B6"/>
    <w:rsid w:val="009254FC"/>
    <w:rsid w:val="009336B6"/>
    <w:rsid w:val="009408CB"/>
    <w:rsid w:val="009410E7"/>
    <w:rsid w:val="00941665"/>
    <w:rsid w:val="00941D18"/>
    <w:rsid w:val="00945380"/>
    <w:rsid w:val="00950D32"/>
    <w:rsid w:val="00952BEE"/>
    <w:rsid w:val="009604AF"/>
    <w:rsid w:val="00966A81"/>
    <w:rsid w:val="00967292"/>
    <w:rsid w:val="009678D6"/>
    <w:rsid w:val="00972CA9"/>
    <w:rsid w:val="009746AB"/>
    <w:rsid w:val="0097698E"/>
    <w:rsid w:val="00984E0D"/>
    <w:rsid w:val="00990E4D"/>
    <w:rsid w:val="00992F53"/>
    <w:rsid w:val="00995A35"/>
    <w:rsid w:val="009A15D9"/>
    <w:rsid w:val="009A262F"/>
    <w:rsid w:val="009A32D8"/>
    <w:rsid w:val="009A36E0"/>
    <w:rsid w:val="009A59E6"/>
    <w:rsid w:val="009B0588"/>
    <w:rsid w:val="009D1DF5"/>
    <w:rsid w:val="009D4FEE"/>
    <w:rsid w:val="009D7452"/>
    <w:rsid w:val="009D7FC4"/>
    <w:rsid w:val="009E05C2"/>
    <w:rsid w:val="009F3E3F"/>
    <w:rsid w:val="00A026F2"/>
    <w:rsid w:val="00A17B8E"/>
    <w:rsid w:val="00A223D1"/>
    <w:rsid w:val="00A30AB8"/>
    <w:rsid w:val="00A31396"/>
    <w:rsid w:val="00A3255C"/>
    <w:rsid w:val="00A343E7"/>
    <w:rsid w:val="00A346E1"/>
    <w:rsid w:val="00A369BA"/>
    <w:rsid w:val="00A37AD4"/>
    <w:rsid w:val="00A53BE5"/>
    <w:rsid w:val="00A55927"/>
    <w:rsid w:val="00A608B6"/>
    <w:rsid w:val="00A62CBB"/>
    <w:rsid w:val="00A6409E"/>
    <w:rsid w:val="00A65FEB"/>
    <w:rsid w:val="00A67486"/>
    <w:rsid w:val="00A67579"/>
    <w:rsid w:val="00A70628"/>
    <w:rsid w:val="00A81EFA"/>
    <w:rsid w:val="00A84066"/>
    <w:rsid w:val="00A841DE"/>
    <w:rsid w:val="00A85F41"/>
    <w:rsid w:val="00A870A2"/>
    <w:rsid w:val="00A9054B"/>
    <w:rsid w:val="00A9255A"/>
    <w:rsid w:val="00A927BC"/>
    <w:rsid w:val="00A94C2D"/>
    <w:rsid w:val="00AB3065"/>
    <w:rsid w:val="00AB7377"/>
    <w:rsid w:val="00AC2682"/>
    <w:rsid w:val="00AC74EF"/>
    <w:rsid w:val="00AD5186"/>
    <w:rsid w:val="00AE5953"/>
    <w:rsid w:val="00AF0FA8"/>
    <w:rsid w:val="00AF4463"/>
    <w:rsid w:val="00B00551"/>
    <w:rsid w:val="00B068FE"/>
    <w:rsid w:val="00B10C1A"/>
    <w:rsid w:val="00B14BC1"/>
    <w:rsid w:val="00B16AF2"/>
    <w:rsid w:val="00B20A40"/>
    <w:rsid w:val="00B23EC4"/>
    <w:rsid w:val="00B25792"/>
    <w:rsid w:val="00B30F4A"/>
    <w:rsid w:val="00B33148"/>
    <w:rsid w:val="00B37B5E"/>
    <w:rsid w:val="00B41074"/>
    <w:rsid w:val="00B5189A"/>
    <w:rsid w:val="00B52116"/>
    <w:rsid w:val="00B53B7E"/>
    <w:rsid w:val="00B61084"/>
    <w:rsid w:val="00B61253"/>
    <w:rsid w:val="00B63B66"/>
    <w:rsid w:val="00B65902"/>
    <w:rsid w:val="00B7033F"/>
    <w:rsid w:val="00B71C41"/>
    <w:rsid w:val="00B731E4"/>
    <w:rsid w:val="00B749E2"/>
    <w:rsid w:val="00B76B05"/>
    <w:rsid w:val="00B83035"/>
    <w:rsid w:val="00B840C6"/>
    <w:rsid w:val="00B879D8"/>
    <w:rsid w:val="00B943E9"/>
    <w:rsid w:val="00B9692F"/>
    <w:rsid w:val="00B977D0"/>
    <w:rsid w:val="00BB1F6B"/>
    <w:rsid w:val="00BC3A20"/>
    <w:rsid w:val="00BD41C7"/>
    <w:rsid w:val="00BE3D4F"/>
    <w:rsid w:val="00BF31D4"/>
    <w:rsid w:val="00BF4DEB"/>
    <w:rsid w:val="00BF7E2F"/>
    <w:rsid w:val="00C119F4"/>
    <w:rsid w:val="00C24C2D"/>
    <w:rsid w:val="00C31C9E"/>
    <w:rsid w:val="00C3425B"/>
    <w:rsid w:val="00C354AB"/>
    <w:rsid w:val="00C36E27"/>
    <w:rsid w:val="00C409E6"/>
    <w:rsid w:val="00C4152C"/>
    <w:rsid w:val="00C41B57"/>
    <w:rsid w:val="00C47D72"/>
    <w:rsid w:val="00C557AC"/>
    <w:rsid w:val="00C57EDE"/>
    <w:rsid w:val="00C6172E"/>
    <w:rsid w:val="00C6185C"/>
    <w:rsid w:val="00C626BE"/>
    <w:rsid w:val="00C62923"/>
    <w:rsid w:val="00C643F7"/>
    <w:rsid w:val="00C64673"/>
    <w:rsid w:val="00C70EAE"/>
    <w:rsid w:val="00C724A0"/>
    <w:rsid w:val="00C72D1D"/>
    <w:rsid w:val="00C811AC"/>
    <w:rsid w:val="00C82208"/>
    <w:rsid w:val="00C843DA"/>
    <w:rsid w:val="00C87E43"/>
    <w:rsid w:val="00C909D2"/>
    <w:rsid w:val="00CA73A7"/>
    <w:rsid w:val="00CB0971"/>
    <w:rsid w:val="00CB0BDE"/>
    <w:rsid w:val="00CB26C5"/>
    <w:rsid w:val="00CC4087"/>
    <w:rsid w:val="00CD29F1"/>
    <w:rsid w:val="00CD715C"/>
    <w:rsid w:val="00CD7634"/>
    <w:rsid w:val="00CE1D09"/>
    <w:rsid w:val="00CE74EB"/>
    <w:rsid w:val="00CE7D18"/>
    <w:rsid w:val="00CF093D"/>
    <w:rsid w:val="00CF247A"/>
    <w:rsid w:val="00CF3B92"/>
    <w:rsid w:val="00CF5C42"/>
    <w:rsid w:val="00CF6DA2"/>
    <w:rsid w:val="00CF6F7A"/>
    <w:rsid w:val="00D0351C"/>
    <w:rsid w:val="00D04F9A"/>
    <w:rsid w:val="00D051E8"/>
    <w:rsid w:val="00D062F3"/>
    <w:rsid w:val="00D108C4"/>
    <w:rsid w:val="00D15C9E"/>
    <w:rsid w:val="00D205AD"/>
    <w:rsid w:val="00D20F6B"/>
    <w:rsid w:val="00D256DA"/>
    <w:rsid w:val="00D30A1A"/>
    <w:rsid w:val="00D30E7D"/>
    <w:rsid w:val="00D31B98"/>
    <w:rsid w:val="00D427B6"/>
    <w:rsid w:val="00D46043"/>
    <w:rsid w:val="00D467B4"/>
    <w:rsid w:val="00D56DB1"/>
    <w:rsid w:val="00D6211A"/>
    <w:rsid w:val="00D70D28"/>
    <w:rsid w:val="00D7353A"/>
    <w:rsid w:val="00D74392"/>
    <w:rsid w:val="00D751CD"/>
    <w:rsid w:val="00D77F8E"/>
    <w:rsid w:val="00D77FC6"/>
    <w:rsid w:val="00D8358C"/>
    <w:rsid w:val="00D91627"/>
    <w:rsid w:val="00D91EB2"/>
    <w:rsid w:val="00DA4E2C"/>
    <w:rsid w:val="00DA61C0"/>
    <w:rsid w:val="00DA7AEA"/>
    <w:rsid w:val="00DC3877"/>
    <w:rsid w:val="00DC4C23"/>
    <w:rsid w:val="00DC6B72"/>
    <w:rsid w:val="00DD0CB5"/>
    <w:rsid w:val="00DD2CDD"/>
    <w:rsid w:val="00DD48EB"/>
    <w:rsid w:val="00DD6128"/>
    <w:rsid w:val="00DE1286"/>
    <w:rsid w:val="00DE1D48"/>
    <w:rsid w:val="00DF2499"/>
    <w:rsid w:val="00E042F2"/>
    <w:rsid w:val="00E05F3E"/>
    <w:rsid w:val="00E1079C"/>
    <w:rsid w:val="00E204B5"/>
    <w:rsid w:val="00E22727"/>
    <w:rsid w:val="00E34ACF"/>
    <w:rsid w:val="00E4203D"/>
    <w:rsid w:val="00E43FA2"/>
    <w:rsid w:val="00E615A7"/>
    <w:rsid w:val="00E62D19"/>
    <w:rsid w:val="00E64ED4"/>
    <w:rsid w:val="00E70CD1"/>
    <w:rsid w:val="00E71049"/>
    <w:rsid w:val="00E76920"/>
    <w:rsid w:val="00E8273A"/>
    <w:rsid w:val="00E8290A"/>
    <w:rsid w:val="00E848B4"/>
    <w:rsid w:val="00E852F1"/>
    <w:rsid w:val="00E86244"/>
    <w:rsid w:val="00E86703"/>
    <w:rsid w:val="00E96210"/>
    <w:rsid w:val="00EA703F"/>
    <w:rsid w:val="00EB2B60"/>
    <w:rsid w:val="00EB3463"/>
    <w:rsid w:val="00EB6BFA"/>
    <w:rsid w:val="00EB6E5A"/>
    <w:rsid w:val="00EC2306"/>
    <w:rsid w:val="00EC26DB"/>
    <w:rsid w:val="00EC4B5D"/>
    <w:rsid w:val="00ED7B33"/>
    <w:rsid w:val="00EE0DDA"/>
    <w:rsid w:val="00EE1C36"/>
    <w:rsid w:val="00EE3AA2"/>
    <w:rsid w:val="00EE4EB4"/>
    <w:rsid w:val="00EE72AF"/>
    <w:rsid w:val="00EF1613"/>
    <w:rsid w:val="00EF3C4E"/>
    <w:rsid w:val="00EF75E1"/>
    <w:rsid w:val="00F06101"/>
    <w:rsid w:val="00F06838"/>
    <w:rsid w:val="00F115EF"/>
    <w:rsid w:val="00F12740"/>
    <w:rsid w:val="00F154D4"/>
    <w:rsid w:val="00F21F3A"/>
    <w:rsid w:val="00F24DCA"/>
    <w:rsid w:val="00F354BD"/>
    <w:rsid w:val="00F37EF7"/>
    <w:rsid w:val="00F40202"/>
    <w:rsid w:val="00F407A5"/>
    <w:rsid w:val="00F40931"/>
    <w:rsid w:val="00F45247"/>
    <w:rsid w:val="00F461C6"/>
    <w:rsid w:val="00F47436"/>
    <w:rsid w:val="00F56703"/>
    <w:rsid w:val="00F575B9"/>
    <w:rsid w:val="00F70D30"/>
    <w:rsid w:val="00F71B87"/>
    <w:rsid w:val="00F7484C"/>
    <w:rsid w:val="00F7681D"/>
    <w:rsid w:val="00F7696D"/>
    <w:rsid w:val="00F83A81"/>
    <w:rsid w:val="00F866C9"/>
    <w:rsid w:val="00F938C8"/>
    <w:rsid w:val="00F9493B"/>
    <w:rsid w:val="00F952E2"/>
    <w:rsid w:val="00FA2175"/>
    <w:rsid w:val="00FA38C7"/>
    <w:rsid w:val="00FA7F3D"/>
    <w:rsid w:val="00FB0090"/>
    <w:rsid w:val="00FB3419"/>
    <w:rsid w:val="00FB67FB"/>
    <w:rsid w:val="00FC1A5B"/>
    <w:rsid w:val="00FC56F2"/>
    <w:rsid w:val="00FD6A24"/>
    <w:rsid w:val="00FD6D3C"/>
    <w:rsid w:val="00FE232C"/>
    <w:rsid w:val="00FE485C"/>
    <w:rsid w:val="00FE4A66"/>
    <w:rsid w:val="00FF216B"/>
    <w:rsid w:val="00FF21AC"/>
    <w:rsid w:val="00FF4E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CE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0CEF"/>
    <w:pPr>
      <w:spacing w:after="0" w:line="240" w:lineRule="auto"/>
    </w:pPr>
  </w:style>
  <w:style w:type="paragraph" w:styleId="NormalWeb">
    <w:name w:val="Normal (Web)"/>
    <w:basedOn w:val="Normal"/>
    <w:uiPriority w:val="99"/>
    <w:semiHidden/>
    <w:unhideWhenUsed/>
    <w:rsid w:val="004E29E0"/>
    <w:pPr>
      <w:spacing w:before="100" w:beforeAutospacing="1" w:after="100" w:afterAutospacing="1"/>
    </w:pPr>
  </w:style>
  <w:style w:type="character" w:styleId="Strong">
    <w:name w:val="Strong"/>
    <w:basedOn w:val="DefaultParagraphFont"/>
    <w:uiPriority w:val="22"/>
    <w:qFormat/>
    <w:rsid w:val="004E29E0"/>
    <w:rPr>
      <w:b/>
      <w:bCs/>
    </w:rPr>
  </w:style>
  <w:style w:type="character" w:customStyle="1" w:styleId="TableDetailChar">
    <w:name w:val="Table Detail Char"/>
    <w:link w:val="TableDetail"/>
    <w:locked/>
    <w:rsid w:val="00536628"/>
    <w:rPr>
      <w:rFonts w:ascii="Arial" w:hAnsi="Arial" w:cs="Arial"/>
      <w:bCs/>
      <w:color w:val="666666"/>
      <w:sz w:val="16"/>
      <w:szCs w:val="24"/>
      <w:lang/>
    </w:rPr>
  </w:style>
  <w:style w:type="paragraph" w:customStyle="1" w:styleId="TableDetail">
    <w:name w:val="Table Detail"/>
    <w:basedOn w:val="Normal"/>
    <w:link w:val="TableDetailChar"/>
    <w:rsid w:val="00536628"/>
    <w:pPr>
      <w:spacing w:before="60" w:after="60"/>
    </w:pPr>
    <w:rPr>
      <w:rFonts w:ascii="Arial" w:eastAsiaTheme="minorHAnsi" w:hAnsi="Arial" w:cs="Arial"/>
      <w:bCs/>
      <w:color w:val="666666"/>
      <w:sz w:val="16"/>
      <w:lang/>
    </w:rPr>
  </w:style>
  <w:style w:type="paragraph" w:customStyle="1" w:styleId="TableColumnHeading">
    <w:name w:val="Table Column Heading"/>
    <w:basedOn w:val="Normal"/>
    <w:rsid w:val="00536628"/>
    <w:pPr>
      <w:overflowPunct w:val="0"/>
      <w:autoSpaceDE w:val="0"/>
      <w:autoSpaceDN w:val="0"/>
      <w:adjustRightInd w:val="0"/>
      <w:spacing w:after="60"/>
      <w:jc w:val="center"/>
    </w:pPr>
    <w:rPr>
      <w:rFonts w:ascii="Arial" w:hAnsi="Arial"/>
      <w:b/>
      <w:bCs/>
      <w:iCs/>
      <w:color w:val="666666"/>
      <w:sz w:val="18"/>
      <w:szCs w:val="20"/>
    </w:rPr>
  </w:style>
</w:styles>
</file>

<file path=word/webSettings.xml><?xml version="1.0" encoding="utf-8"?>
<w:webSettings xmlns:r="http://schemas.openxmlformats.org/officeDocument/2006/relationships" xmlns:w="http://schemas.openxmlformats.org/wordprocessingml/2006/main">
  <w:divs>
    <w:div w:id="119676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633</Words>
  <Characters>3614</Characters>
  <Application>Microsoft Office Word</Application>
  <DocSecurity>0</DocSecurity>
  <Lines>30</Lines>
  <Paragraphs>8</Paragraphs>
  <ScaleCrop>false</ScaleCrop>
  <Company/>
  <LinksUpToDate>false</LinksUpToDate>
  <CharactersWithSpaces>4239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guptaajk</dc:creator>
  <cp:keywords/>
  <dc:description/>
  <cp:lastModifiedBy>guptaajk</cp:lastModifiedBy>
  <cp:revision>15</cp:revision>
  <dcterms:created xsi:type="dcterms:W3CDTF">2012-10-16T08:57:00Z</dcterms:created>
  <dcterms:modified xsi:type="dcterms:W3CDTF">2012-10-16T09:54:00Z</dcterms:modified>
</cp:coreProperties>
</file>