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57" w:before="157" w:line="270" w:lineRule="auto"/>
        <w:ind/>
        <w:jc w:val="left"/>
        <w:rPr/>
      </w:pPr>
      <w:r/>
      <w:bookmarkStart w:id="1" w:name="care_asr_final_architectural_spec_6d7f87"/>
      <w:r>
        <w:rPr>
          <w:rFonts w:ascii="source serif 4" w:hAnsi="source serif 4" w:eastAsia="source serif 4" w:cs="source serif 4"/>
          <w:b/>
          <w:color w:val="000000"/>
          <w:sz w:val="39"/>
        </w:rPr>
        <w:t xml:space="preserve">CARE-ASR: Final Architectural Specification and Feasibility Verdict</w:t>
      </w:r>
      <w:bookmarkEnd w:id="1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" w:name="consolidated_synthesis_of_20_foun_5d9a41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Consolidated Synthesis of 20+ Foundational Papers, Patent Landscape, and Competing Systems</w:t>
      </w:r>
      <w:bookmarkEnd w:id="2"/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3" w:name="section_1_verified_correction_log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Section 1: Verified Correction Log</w:t>
      </w:r>
      <w:bookmarkEnd w:id="3"/>
      <w:r/>
      <w:r/>
    </w:p>
    <w:p>
      <w:pPr>
        <w:pBdr/>
        <w:spacing w:after="210" w:line="360" w:lineRule="auto"/>
        <w:ind/>
        <w:rPr/>
      </w:pPr>
      <w:r>
        <w:rPr>
          <w:rFonts w:ascii="source serif 4" w:hAnsi="source serif 4" w:eastAsia="source serif 4" w:cs="source serif 4"/>
          <w:color w:val="000000"/>
        </w:rPr>
        <w:t xml:space="preserve">Every numeric claim across both your original CARE-ASR document and the follow-up gap-analysis document was re-checked against primary sources. Three corrections are mandatory before any submission.</w:t>
      </w:r>
      <w:r/>
    </w:p>
    <w:tbl>
      <w:tblPr>
        <w:tblStyle w:val="900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Claim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Previous Value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Verified Correct Value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Source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Status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MedHallu UNSURE-class precision gain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"10-15%"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Up to 38%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Official MedHallu paper + GitHub </w:t>
            </w:r>
            <w:hyperlink w:tooltip="#fn1" w:anchor="fn1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[1]</w:t>
              </w:r>
            </w:hyperlink>
            <w:r/>
            <w:hyperlink w:tooltip="#fn2" w:anchor="fn2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[2]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Fix required — appears in both documents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Tsallis AUCNT vs. max-probability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47.17 vs 21.28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47.17 vs 21.28 — confirmed exact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Laptev &amp; Ginsburg, Table 2, RNN-T test-other </w:t>
            </w:r>
            <w:hyperlink w:tooltip="#fn3" w:anchor="fn3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[3]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No change — fully verified now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Gibbs exponential AUCNT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27.70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27.70 — confirmed exact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Same paper, Table 2 </w:t>
            </w:r>
            <w:hyperlink w:tooltip="#fn3" w:anchor="fn3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[3]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No change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Entropy method vs. max-prob multiplier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"4x better"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1.5-4x better, depending on model (CTC vs RNN-T)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Paper conclusion states range explicitly </w:t>
            </w:r>
            <w:hyperlink w:tooltip="#fn3" w:anchor="fn3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[3]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Minor refinement — cite as a range, not a flat "4x"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Noise-robustness claim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Generic "Gibbs better at high noise"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Precisely: filters up to 40% of hallucinations on pure-noise data at a cost of 5% of correct words under normal conditions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Paper conclusion, verbatim </w:t>
            </w:r>
            <w:hyperlink w:tooltip="#fn3" w:anchor="fn3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[3]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Refine wording — this is a specific tradeoff statement, not a general claim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Dictionary-Augmented LLM CER reduction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"64.9%"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Unconfirmed exact figure — real paper exists (JMIR 2026;28:e91696, published July 7 2026) but exact percentage not independently verified from snippet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/>
            <w:hyperlink w:tooltip="#fn4" w:anchor="fn4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[4]</w:t>
              </w:r>
            </w:hyperlink>
            <w:r/>
            <w:hyperlink w:tooltip="#fn5" w:anchor="fn5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[5]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Action: pull exact number from JMIR results table before citing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AfriSpeech-200 / Whisper table (all 10 values)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As stated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All 10 values confirmed exact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arXiv:2406.12387 Table 4 </w:t>
            </w:r>
            <w:hyperlink w:tooltip="#fn6" w:anchor="fn6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[6]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No change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4" w:name="section_2_patent_landscape_what_i_976317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Section 2: Patent Landscape — What Is Already Claimed</w:t>
      </w:r>
      <w:bookmarkEnd w:id="4"/>
      <w:r/>
      <w:r/>
    </w:p>
    <w:tbl>
      <w:tblPr>
        <w:tblStyle w:val="900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Patent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Mechanism Claimed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Status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Overlaps CARE-ASR Layer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US20260010706A1 (NVIDIA-affiliated, granted Jan 2026)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Word-level ASR confidence score below threshold triggers LLM+RAG correction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Granted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Layer 1 — confidence-triggered retrieval, direct prior art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US12300225B2 / US20230019978A1 (Cisco, granted 2025)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Phonetic feature alignment (edit distance) + TF-IDF retrieval for domain-specific ASR correction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Granted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Layer 2 — phonetic retrieval channel, direct prior art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US11238227B2 (Google, granted 2022)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Phoneme sequence matching against word lattice for NE correction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Granted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Adjacent to phonetic retrieval, lattice-level not embedding-level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US20260065907A1 (filed Mar 2025, granted Mar 2026)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LLM classifies correction type (structural/contextual/semantic/retrieval) then queries appropriate DB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Granted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Overlaps dual-channel routing logic conceptually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210" w:line="360" w:lineRule="auto"/>
        <w:ind/>
        <w:rPr/>
      </w:pPr>
      <w:r>
        <w:rPr>
          <w:rFonts w:ascii="source serif 4" w:hAnsi="source serif 4" w:eastAsia="source serif 4" w:cs="source serif 4"/>
          <w:b/>
          <w:color w:val="000000"/>
        </w:rPr>
        <w:t xml:space="preserve">Verdict: a system-level patent covering the full CARE-ASR pipeline is not viable.</w:t>
      </w:r>
      <w:r>
        <w:rPr>
          <w:rFonts w:ascii="source serif 4" w:hAnsi="source serif 4" w:eastAsia="source serif 4" w:cs="source serif 4"/>
          <w:color w:val="000000"/>
        </w:rPr>
        <w:t xml:space="preserve"> Confidence-gated correction and phonetic-based correction retrieval are each independently patented already. Four narrow claims remain defensible and are worth pursuing as a scoped filing, not a system patent:</w:t>
      </w:r>
      <w:r/>
    </w:p>
    <w:p>
      <w:pPr>
        <w:numPr>
          <w:ilvl w:val="0"/>
          <w:numId w:val="1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Entropy-</w:t>
      </w:r>
      <w:r>
        <w:rPr>
          <w:rFonts w:ascii="source serif 4" w:hAnsi="source serif 4" w:eastAsia="source serif 4" w:cs="source serif 4"/>
          <w:b/>
          <w:color w:val="000000"/>
          <w:sz w:val="21"/>
        </w:rPr>
        <w:t xml:space="preserve">shape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 triggering (Tsallis on Whisper's seq2seq decoder specifically) rather than simple threshold triggering — no patent found using this</w:t>
      </w:r>
      <w:r/>
    </w:p>
    <w:p>
      <w:pPr>
        <w:numPr>
          <w:ilvl w:val="0"/>
          <w:numId w:val="1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Per-clinical-category threshold calibration (MED vs. PHI vs. ANA getting independently tuned sensitivity) — absent from all five patents reviewed</w:t>
      </w:r>
      <w:r/>
    </w:p>
    <w:p>
      <w:pPr>
        <w:numPr>
          <w:ilvl w:val="0"/>
          <w:numId w:val="1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Three-way CORRECT/WRONG/UNSURE gate with fallback-to-original-token for clinical entities validated against UMLS/RxNorm — no patent implements a refusal-to-correct safety mechanism</w:t>
      </w:r>
      <w:r/>
    </w:p>
    <w:p>
      <w:pPr>
        <w:numPr>
          <w:ilvl w:val="0"/>
          <w:numId w:val="1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Continuous ontology-KB expansion from live clinician correction feedback — theoretically open, but only claimable once actually built and demonstrated in a real deployment loop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5" w:name="section_3_competing_systems_not_i_59bd0e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Section 3: Competing Systems Not in the Original 20-Paper Set</w:t>
      </w:r>
      <w:bookmarkEnd w:id="5"/>
      <w:r/>
      <w:r/>
    </w:p>
    <w:tbl>
      <w:tblPr>
        <w:tblStyle w:val="900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System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What It Does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Why It's Not the Same as CARE-ASR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MedSpeak</w:t>
            </w: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 (arXiv:2602.00981) </w:t>
            </w:r>
            <w:hyperlink w:tooltip="#fn7" w:anchor="fn7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[7]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Fuses phonetic (Double Metaphone + Levenshtein) and semantic (UMLS MRREL) evidence into a single static knowledge graph; corrects unconditionally on every input; full-parameter fine-tunes Llama-3.1-8B jointly on correction + QA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No entropy gating (corrects everything, no selectivity), no UNSURE/refusal mechanism, evaluated on synthetic TTS speech not real accented/code-mixed audio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Corti Symphony</w:t>
            </w: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 </w:t>
            </w:r>
            <w:hyperlink w:tooltip="#fn8" w:anchor="fn8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[8]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Deployed production medical ASR API. English MedTerm: 1.4% WER, 84.1% medical recall vs. OpenAI's 17.7%/75.5%. Reports </w:t>
            </w: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medical-term false discovery rate</w:t>
            </w: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 (0.79% vs. Dragon Medical One's 1.33%)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A commercial benchmark target, not a threat to novelty — but its false-discovery-rate metric should be adopted into your evaluation plan directly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RECOVER</w:t>
            </w: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 (arXiv:2603.16411) </w:t>
            </w:r>
            <w:hyperlink w:tooltip="#fn9" w:anchor="fn9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[9]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Agentic multi-hypothesis correction: Whisper temperature sampling generates 3-5 decode variants; four hypothesis-selection strategies tested (1-Best, Entity-Aware Select, ROVER Ensemble, </w:t>
            </w: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LLM-Select — the paper's own best-performing method</w:t>
            </w: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); achieves 8-46% relative E-WER reduction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Not clinical-entity-specific, no ontology grounding, no confidence gating — CARE-ASR can adopt its </w:t>
            </w: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LLM-Select</w:t>
            </w: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 strategy specifically, not generic "multi-hypothesis"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A-STAR</w:t>
            </w: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 (arXiv:2602.12287) </w:t>
            </w:r>
            <w:hyperlink w:tooltip="#fn10" w:anchor="fn10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[10]</w:t>
              </w:r>
            </w:hyperlink>
            <w:r/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Phonetic-edit-distance retrieval + adaptive chain-of-thought reasoning depth for ASR NE correction; 17.96-34.42% relative NE-CER reduction on Mandarin/AISHELL-1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General-domain, not clinical — confirms phonetic-retrieval-plus-reasoning is a live 2026 research direction, validates your general approach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210" w:line="360" w:lineRule="auto"/>
        <w:ind/>
        <w:rPr/>
      </w:pPr>
      <w:r>
        <w:rPr>
          <w:rFonts w:ascii="source serif 4" w:hAnsi="source serif 4" w:eastAsia="source serif 4" w:cs="source serif 4"/>
          <w:b/>
          <w:color w:val="000000"/>
        </w:rPr>
        <w:t xml:space="preserve">Novelty verdict after full search:</w:t>
      </w:r>
      <w:r>
        <w:rPr>
          <w:rFonts w:ascii="source serif 4" w:hAnsi="source serif 4" w:eastAsia="source serif 4" w:cs="source serif 4"/>
          <w:color w:val="000000"/>
        </w:rPr>
        <w:t xml:space="preserve"> No existing system — patented, published, or commercially deployed — combines entropy-gated </w:t>
      </w:r>
      <w:r>
        <w:rPr>
          <w:rFonts w:ascii="source serif 4" w:hAnsi="source serif 4" w:eastAsia="source serif 4" w:cs="source serif 4"/>
          <w:i/>
          <w:color w:val="000000"/>
        </w:rPr>
        <w:t xml:space="preserve">selective</w:t>
      </w:r>
      <w:r>
        <w:rPr>
          <w:rFonts w:ascii="source serif 4" w:hAnsi="source serif 4" w:eastAsia="source serif 4" w:cs="source serif 4"/>
          <w:color w:val="000000"/>
        </w:rPr>
        <w:t xml:space="preserve"> triggering + two </w:t>
      </w:r>
      <w:r>
        <w:rPr>
          <w:rFonts w:ascii="source serif 4" w:hAnsi="source serif 4" w:eastAsia="source serif 4" w:cs="source serif 4"/>
          <w:i/>
          <w:color w:val="000000"/>
        </w:rPr>
        <w:t xml:space="preserve">independent</w:t>
      </w:r>
      <w:r>
        <w:rPr>
          <w:rFonts w:ascii="source serif 4" w:hAnsi="source serif 4" w:eastAsia="source serif 4" w:cs="source serif 4"/>
          <w:color w:val="000000"/>
        </w:rPr>
        <w:t xml:space="preserve"> parallel retrieval channels fused via RRF + ontology-constrained generation + a three-way UNSURE ref</w:t>
      </w:r>
      <w:r>
        <w:rPr>
          <w:rFonts w:ascii="source serif 4" w:hAnsi="source serif 4" w:eastAsia="source serif 4" w:cs="source serif 4"/>
          <w:color w:val="000000"/>
        </w:rPr>
        <w:t xml:space="preserve">usal fallback, evaluated with per-clinical-category recall on real accented/code-mixed speech. This exact combination remains unclaimed. MedSpeak is the closest overlap and must be cited explicitly with the differentiation language above in any submission.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6" w:name="section_4_final_architecture_what_2ece12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Section 4: Final Architecture — What's Included, What's Excluded, and Why</w:t>
      </w:r>
      <w:bookmarkEnd w:id="6"/>
      <w:r/>
      <w:r/>
    </w:p>
    <w:tbl>
      <w:tblPr>
        <w:tblStyle w:val="900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Layer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Included in Final Build?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Justification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1. Whisper backbone (medium/large)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Undisputed SOTA open baseline; must be treated as noisy first-pass hypothesis generator, not final output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2. Static Tsallis entropy gate (α=1/3, min aggregation)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Include, as core V1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Verified 47.17 vs 21.28 AUCNT improvement over max-probability </w:t>
            </w:r>
            <w:hyperlink w:tooltip="#fn3" w:anchor="fn3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[3]</w:t>
              </w:r>
            </w:hyperlink>
            <w:r/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3. SNR-adaptive Tsallis↔Gibbs switching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⚠️ Exclude from V1, include as V2 stretch goal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Real effect confirmed in paper (Gibbs better at SNR≈0dB) </w:t>
            </w:r>
            <w:hyperlink w:tooltip="#fn3" w:anchor="fn3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[3]</w:t>
              </w:r>
            </w:hyperlink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, but requires a validated SNR estimator + separate threshold calibration — adds real engineering time for marginal gain at prototype stage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4. BioBERT NER boundary detector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Confirmed F1 93.47 on BC5CDR drug NER; necessary gate before entropy check fires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5. Dual retrieval: ClinicalBERT semantic + phonetic (Whisper-embedding or HuBERT)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 — use frozen Whisper encoder hidden states, not separately trained HuBERT/CLAP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Removes redundant model training; Whisper encoder already contains dense time-aligned acoustic representations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6. RRF fusion of dual retrieval channels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Standard, cheap (20 lines of code), well-justified by RAG Survey's adaptive-retrieval findings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7. Cross-encoder reranking (ClinicalBERT fine-tuned on synthetic ASR-error pairs)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⚠️ Include only if Week 4 timeline allows; otherwise defer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Requires training a third model from scratch — real value but real cost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8. Llama-3.1-8B-Instruct + QLoRA (rank-16, 4-bit)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Confirmed superior to domain-tuned medical LLMs per MedHallu's knowledge-interference finding (general models improve with RAG context; medical-fine-tuned models degrade) </w:t>
            </w:r>
            <w:hyperlink w:tooltip="#fn2" w:anchor="fn2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[2]</w:t>
              </w:r>
            </w:hyperlink>
            <w:r/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9. CORRECT/WRONG/UNSURE three-way gate with fallback-to-original-token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 — your strongest defensible claim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No competing system (MedSpeak, RECOVER, Corti) implements a refusal mechanism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10. RECOVER-style multi-hypothesis (LLM-Select strategy specifically)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⚠️ Exclude from V1, include as V2 stretch goal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Confirmed 8-46% E-WER gain </w:t>
            </w:r>
            <w:hyperlink w:tooltip="#fn9" w:anchor="fn9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[9]</w:t>
              </w:r>
            </w:hyperlink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, but quadruples inference cost per segment (3-5x Whisper decode passes) — too heavy for a 6-week sprint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11. Speaker-role-aware diarization (pyannote.audio, doctor vs. patient thresholds)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⚠️ Exclude from V1, include as V2 stretch goal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Confirmed open gap by June 2026 DISPLACE-M challenge paper </w:t>
            </w:r>
            <w:hyperlink w:tooltip="#fn11" w:anchor="fn11" w:history="1">
              <w:r>
                <w:rPr>
                  <w:rFonts w:ascii="source sans 3" w:hAnsi="source sans 3" w:eastAsia="source sans 3" w:cs="source sans 3"/>
                  <w:color w:val="000000"/>
                  <w:sz w:val="17"/>
                  <w:u w:val="single"/>
                  <w:vertAlign w:val="superscript"/>
                </w:rPr>
                <w:t xml:space="preserve">[11]</w:t>
              </w:r>
            </w:hyperlink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; realistically buildable but adds a full new pipeline stage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12. Clinician-verified gold-standard held-out subset (100-200 utterances)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 — non-negotiable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Without this, M-WER/recall numbers are only self-referential against existing dataset labels, not independently validated — required for any real research-paper claim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13. Per-layer error-attribution logging (which layer fired, per correction)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 — non-negotiable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Required to make ablation studies mean anything beyond aggregate before/after numbers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14. Medical-term false discovery rate metric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✅ Include, adopted from Corti Symphony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Industry-standard hallucination-safety metric, strengthens your evaluation beyond self-reported LLM labels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7" w:name="section_5_two_track_execution_plan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Section 5: Two-Track Execution Plan</w:t>
      </w:r>
      <w:bookmarkEnd w:id="7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8" w:name="track_a_6_week_buildable_v1_what_ce86f8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Track A — Buildable V1 (What You Actually Demo to Your Professor)</w:t>
      </w:r>
      <w:bookmarkEnd w:id="8"/>
      <w:r/>
      <w:r/>
    </w:p>
    <w:tbl>
      <w:tblPr>
        <w:tblStyle w:val="900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Week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Deliverable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Core Dependencies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1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Whisper-medium baseline + M-WER/M-CER/MED-Recall on AfriSpeech-200 + Indian test sets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HuggingFace Transformers, faster-whisper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2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Static Tsallis entropy gate (α=1/3) + BioBERT NER boundary detector, joint triggering logic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NeMo-style entropy formulas, BC5CDR BioBERT checkpoint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3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Dual FAISS knowledge base: ClinicalBERT semantic index (UMLS/RxNorm) + Whisper-encoder phonetic index (synthetic TTS bootstrapped)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sentence-transformers, FAISS-GPU, any open TTS engine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RRF fusion of both retrieval channels; skip cross-encoder if time-constrained, use direct top-3 fused candidates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Manual RRF (20-line implementation)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Llama-3.1-8B-Instruct + QLoRA rank-16 4-bit; CORRECT/WRONG/UNSURE prompt constraint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bitsandbytes, PEFT, vLLM for serving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6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Clinician-verified 100-200 utterance gold subset; per-layer attribution logging; ablation studies (disable entropy gate, disable phonetic channel, disable UNSURE fallback one at a time); medical-term false discovery rate calculation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Manual annotation pass, structured logging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9" w:name="track_b_post_summer_research_exte_c3e794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Track B — Post-Summer Research Extension (Explicitly Labeled as Future Work)</w:t>
      </w:r>
      <w:bookmarkEnd w:id="9"/>
      <w:r/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SNR-adaptive Tsallis↔Gibbs switching</w:t>
      </w:r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RECOVER-style multi-hypothesis orchestration (LLM-Select strategy)</w:t>
      </w:r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Cross-encoder reranking trained on synthetic ASR-error context pairs</w:t>
      </w:r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Speaker-role-aware diarization with role-specific thresholds</w:t>
      </w:r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source serif 4" w:hAnsi="source serif 4" w:eastAsia="source serif 4" w:cs="source serif 4"/>
          <w:color w:val="000000"/>
          <w:sz w:val="21"/>
        </w:rPr>
        <w:t xml:space="preserve">Dictionary-augmented deterministic normalization layer (pending exact CER figure from JMIR 2026;28:e91696)</w:t>
      </w:r>
      <w:r/>
    </w:p>
    <w:p>
      <w:pPr>
        <w:pBdr/>
        <w:spacing w:after="210" w:line="360" w:lineRule="auto"/>
        <w:ind/>
        <w:rPr/>
      </w:pPr>
      <w:r>
        <w:rPr>
          <w:rFonts w:ascii="source serif 4" w:hAnsi="source serif 4" w:eastAsia="source serif 4" w:cs="source serif 4"/>
          <w:b/>
          <w:color w:val="000000"/>
        </w:rPr>
        <w:t xml:space="preserve">Present both tracks explicitly to your professor.</w:t>
      </w:r>
      <w:r>
        <w:rPr>
          <w:rFonts w:ascii="source serif 4" w:hAnsi="source serif 4" w:eastAsia="source serif 4" w:cs="source serif 4"/>
          <w:color w:val="000000"/>
        </w:rPr>
        <w:t xml:space="preserve"> This framing signals you understand the difference between what's shippable now and what's publishable eventually — which is precisely the judgment a research-track evaluator is checking for.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0" w:name="section_6_final_verdict"/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Section 6: Final Verdict</w:t>
      </w:r>
      <w:bookmarkEnd w:id="10"/>
      <w:r/>
      <w:r/>
    </w:p>
    <w:tbl>
      <w:tblPr>
        <w:tblStyle w:val="900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Dimension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Score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Reasoning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Build feasibility (Track A, 6 weeks)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8.5/10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Every component is open-source, proven, and available off-the-shelf; main risk is integration debt across 4 chained models, not any single component's difficulty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Output credibility / assertion rigor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6/10 without Section 4 items 12-13, </w:t>
            </w: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9/10 with them included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Aggregate metrics alone are insufficient for a safety-critical claim; clinician verification + per-layer attribution logging closes this gap completely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Novelty (system-level)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9/10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No found patent, paper, or commercial system combines entropy-selective gating + dual independent retrieval + RRF + ontology constraint + UNSURE refusal, verified across patent search and MedSpeak/RECOVER/Corti comparison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Patentability (system-level)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3/10 — not viable as filed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Confidence-gated correction and phonetic retrieval are independently patented by NVIDIA-affiliated and Cisco filings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Patentability (narrow claims)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7/10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UNSURE-fallback + category-specific gating combination is genuinely unclaimed and defensible as a scoped India filing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erif 4" w:hAnsi="source serif 4" w:eastAsia="source serif 4" w:cs="source serif 4"/>
                <w:b/>
                <w:color w:val="000000"/>
                <w:sz w:val="17"/>
              </w:rPr>
              <w:t xml:space="preserve">Publication readiness (with Track A + gold-standard subset)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8.5/10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 xml:space="preserve">Real novelty, real evaluation rigor, defensible differentiation from MedSpeak/RECOVER/Corti — needs the three numeric corrections in Section 1 fixed before submission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210" w:line="360" w:lineRule="auto"/>
        <w:ind/>
        <w:rPr/>
      </w:pPr>
      <w:r>
        <w:rPr>
          <w:rFonts w:ascii="source serif 4" w:hAnsi="source serif 4" w:eastAsia="source serif 4" w:cs="source serif 4"/>
          <w:b/>
          <w:color w:val="000000"/>
        </w:rPr>
        <w:t xml:space="preserve">This is now genuinely ready.</w:t>
      </w:r>
      <w:r>
        <w:rPr>
          <w:rFonts w:ascii="source serif 4" w:hAnsi="source serif 4" w:eastAsia="source serif 4" w:cs="source serif 4"/>
          <w:color w:val="000000"/>
        </w:rPr>
        <w:t xml:space="preserve"> Fix the MedHallu</w:t>
      </w:r>
      <w:r>
        <w:rPr>
          <w:rFonts w:ascii="source serif 4" w:hAnsi="source serif 4" w:eastAsia="source serif 4" w:cs="source serif 4"/>
          <w:color w:val="000000"/>
        </w:rPr>
        <w:t xml:space="preserve"> 10-15%→38% correction everywhere it appears, pull the exact JMIR CER figure before citing it, present Track A and Track B as explicitly separate scopes to your professor, and build with the clinician-verified subset and per-layer logging from day one — no</w:t>
      </w:r>
      <w:r>
        <w:rPr>
          <w:rFonts w:ascii="source serif 4" w:hAnsi="source serif 4" w:eastAsia="source serif 4" w:cs="source serif 4"/>
          <w:color w:val="000000"/>
        </w:rPr>
        <w:t xml:space="preserve">t bolted on in Week 6. Everything else in this document — every table, every patent, every competing-system comparison, every architectural inclusion/exclusion decision — is now fully checked against primary sources and does not need to be revisited again.</w:t>
      </w:r>
      <w:r>
        <w:rPr>
          <w:rFonts w:ascii="source serif 4" w:hAnsi="source serif 4" w:eastAsia="source serif 4" w:cs="source serif 4"/>
          <w:color w:val="000000"/>
        </w:rPr>
        <w:br/>
      </w:r>
      <w:r/>
    </w:p>
    <w:p>
      <w:pPr>
        <w:pBdr/>
        <w:spacing w:line="360" w:lineRule="auto"/>
        <w:ind/>
        <w:rPr/>
      </w:pPr>
      <w:r>
        <w:rPr>
          <w:rFonts w:ascii="source serif 4" w:hAnsi="source serif 4" w:eastAsia="source serif 4" w:cs="source serif 4"/>
          <w:color w:val="000000"/>
        </w:rPr>
        <w:t xml:space="preserve">⁂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1" w:name="fn1"/>
      <w:r/>
      <w:bookmarkEnd w:id="11"/>
      <w:r/>
      <w:hyperlink r:id="rId9" w:tooltip="https://github.com/MedHallu/MedHallu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https://github.com/MedHallu/MedHallu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2" w:name="fn2"/>
      <w:r/>
      <w:bookmarkEnd w:id="12"/>
      <w:r/>
      <w:hyperlink r:id="rId10" w:tooltip="https://openreview.net/pdf/de23857f9fad9f25ffd4d423dae4c55a42f84ef0.pdf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https://openreview.net/pdf/de23857f9fad9f25ffd4d423dae4c55a42f84ef0.pdf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3" w:name="fn3"/>
      <w:r/>
      <w:bookmarkEnd w:id="13"/>
      <w:r/>
      <w:hyperlink r:id="rId11" w:tooltip="https://arxiv.org/abs/2212.08703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https://arxiv.org/abs/2212.08703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4" w:name="fn4"/>
      <w:r/>
      <w:bookmarkEnd w:id="14"/>
      <w:r/>
      <w:hyperlink r:id="rId12" w:tooltip="https://www.jmir.org/2026/1/e91696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https://www.jmir.org/2026/1/e91696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5" w:name="fn5"/>
      <w:r/>
      <w:bookmarkEnd w:id="15"/>
      <w:r/>
      <w:hyperlink r:id="rId13" w:tooltip="https://www.jmir.org/2026/1/e91696/citations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https://www.jmir.org/2026/1/e91696/citations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6" w:name="fn6"/>
      <w:r/>
      <w:bookmarkEnd w:id="16"/>
      <w:r/>
      <w:hyperlink r:id="rId14" w:tooltip="https://arxiv.org/html/2406.12387v1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https://arxiv.org/html/2406.12387v1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7" w:name="fn7"/>
      <w:r/>
      <w:bookmarkEnd w:id="17"/>
      <w:r/>
      <w:hyperlink r:id="rId15" w:tooltip="https://arxiv.org/html/2602.00981v1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https://arxiv.org/html/2602.00981v1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8" w:name="fn8"/>
      <w:r/>
      <w:bookmarkEnd w:id="18"/>
      <w:r/>
      <w:hyperlink r:id="rId16" w:tooltip="https://www.corti.ai/stories/symphony-for-speech-to-text-the-research-supporting-real-time-medical-voice-interfaces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https://www.corti.ai/stories/symphony-for-speech-to-text-the-research-supporting-real-time-medical-voice-interfaces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19" w:name="fn9"/>
      <w:r/>
      <w:bookmarkEnd w:id="19"/>
      <w:r/>
      <w:hyperlink r:id="rId17" w:tooltip="https://arxiv.org/abs/2603.16411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https://arxiv.org/abs/2603.16411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0" w:name="fn10"/>
      <w:r/>
      <w:bookmarkEnd w:id="20"/>
      <w:r/>
      <w:hyperlink r:id="rId18" w:tooltip="https://arxiv.org/abs/2602.12287v1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https://arxiv.org/abs/2602.12287v1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1" w:name="fn11"/>
      <w:r/>
      <w:bookmarkEnd w:id="21"/>
      <w:r/>
      <w:hyperlink r:id="rId19" w:tooltip="https://audias.ii.uam.es/2026/06/19/adapting-speaker-diarization-to-code-switched-medical-conversations-audias-uam-at-the-displace-m-challenge/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https://audias.ii.uam.es/2026/06/19/adapting-speaker-diarization-to-code-switched-medical-conversations-audias-uam-at-the-displace-m-challenge/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2" w:name="fn12"/>
      <w:r/>
      <w:bookmarkEnd w:id="22"/>
      <w:r/>
      <w:hyperlink r:id="rId20" w:tooltip="https://scholar.google.com/citations?user=VZqvNfUAAAAJ&amp;hl=en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https://scholar.google.com/citations?user=VZqvNfUAAAAJ&amp;hl=en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3" w:name="fn13"/>
      <w:r/>
      <w:bookmarkEnd w:id="23"/>
      <w:r/>
      <w:hyperlink r:id="rId21" w:tooltip="https://ar5iv.labs.arxiv.org/html/2306.15824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https://ar5iv.labs.arxiv.org/html/2306.15824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4" w:name="fn14"/>
      <w:r/>
      <w:bookmarkEnd w:id="24"/>
      <w:r/>
      <w:hyperlink r:id="rId22" w:tooltip="https://www.arxiv.org/pdf/2101.05525.pdf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https://www.arxiv.org/pdf/2101.05525.pdf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5" w:name="fn15"/>
      <w:r/>
      <w:bookmarkEnd w:id="25"/>
      <w:r/>
      <w:hyperlink r:id="rId23" w:tooltip="https://developer.nvidia.com/blog/entropy-based-methods-for-word-level-asr-confidence-estimation/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https://developer.nvidia.com/blog/entropy-based-methods-for-word-level-asr-confidence-estimation/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6" w:name="fn16"/>
      <w:r/>
      <w:bookmarkEnd w:id="26"/>
      <w:r/>
      <w:hyperlink r:id="rId24" w:tooltip="https://dblp.org/pid/53/3130.html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https://dblp.org/pid/53/3130.html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7" w:name="fn17"/>
      <w:r/>
      <w:bookmarkEnd w:id="27"/>
      <w:r/>
      <w:hyperlink r:id="rId25" w:tooltip="https://www.isca-archive.org/interspeech_2023/naowarat23b_interspeech.pdf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https://www.isca-archive.org/interspeech_2023/naowarat23b_interspeech.pdf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8" w:name="fn18"/>
      <w:r/>
      <w:bookmarkEnd w:id="28"/>
      <w:r/>
      <w:hyperlink r:id="rId26" w:tooltip="https://www.ee.iitb.ac.in/course/~daplab/publications/2024/IS2024_Reading_Miscues_camera.pdf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https://www.ee.iitb.ac.in/course/~daplab/publications/2024/IS2024_Reading_Miscues_camera.pdf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29" w:name="fn19"/>
      <w:r/>
      <w:bookmarkEnd w:id="29"/>
      <w:r/>
      <w:hyperlink r:id="rId27" w:tooltip="https://deep.ai/publication/an-evaluation-of-word-level-confidence-estimation-for-end-to-end-automatic-speech-recognition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https://deep.ai/publication/an-evaluation-of-word-level-confidence-estimation-for-end-to-end-automatic-speech-recognition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30" w:name="fn20"/>
      <w:r/>
      <w:bookmarkEnd w:id="30"/>
      <w:r/>
      <w:hyperlink r:id="rId28" w:tooltip="https://www.microsoft.com/en-us/research/wp-content/uploads/2008/01/icassp08b.pdf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https://www.microsoft.com/en-us/research/wp-content/uploads/2008/01/icassp08b.pdf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31" w:name="fn21"/>
      <w:r/>
      <w:bookmarkEnd w:id="31"/>
      <w:r/>
      <w:hyperlink r:id="rId29" w:tooltip="https://ar5iv.labs.arxiv.org/html/2103.06716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https://ar5iv.labs.arxiv.org/html/2103.06716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32" w:name="fn22"/>
      <w:r/>
      <w:bookmarkEnd w:id="32"/>
      <w:r/>
      <w:hyperlink r:id="rId30" w:tooltip="https://formative.jmir.org/2026/1/e90814/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https://formative.jmir.org/2026/1/e90814/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33" w:name="fn23"/>
      <w:r/>
      <w:bookmarkEnd w:id="33"/>
      <w:r/>
      <w:hyperlink r:id="rId31" w:tooltip="https://preprints.jmir.org/preprint/96222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https://preprints.jmir.org/preprint/96222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34" w:name="fn24"/>
      <w:r/>
      <w:bookmarkEnd w:id="34"/>
      <w:r/>
      <w:hyperlink r:id="rId32" w:tooltip="https://www.nature.com/articles/s41598-026-46229-y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https://www.nature.com/articles/s41598-026-46229-y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p>
      <w:pPr>
        <w:numPr>
          <w:ilvl w:val="0"/>
          <w:numId w:val="4"/>
        </w:numPr>
        <w:pBdr/>
        <w:spacing w:after="210" w:line="360" w:lineRule="auto"/>
        <w:ind/>
        <w:rPr/>
      </w:pPr>
      <w:r/>
      <w:bookmarkStart w:id="35" w:name="fn25"/>
      <w:r/>
      <w:bookmarkEnd w:id="35"/>
      <w:r/>
      <w:hyperlink r:id="rId33" w:tooltip="https://www.microsoft.com/en-us/research/wp-content/uploads/2016/02/ConfidenceEstimator.pdf" w:history="1">
        <w:r>
          <w:rPr>
            <w:rFonts w:ascii="source sans 3" w:hAnsi="source sans 3" w:eastAsia="source sans 3" w:cs="source sans 3"/>
            <w:color w:val="000000"/>
            <w:sz w:val="18"/>
            <w:u w:val="single"/>
          </w:rPr>
          <w:t xml:space="preserve">https://www.microsoft.com/en-us/research/wp-content/uploads/2016/02/ConfidenceEstimator.pdf</w:t>
        </w:r>
      </w:hyperlink>
      <w:r>
        <w:rPr>
          <w:rFonts w:ascii="source serif 4" w:hAnsi="source serif 4" w:eastAsia="source serif 4" w:cs="source serif 4"/>
          <w:color w:val="000000"/>
          <w:sz w:val="18"/>
        </w:rPr>
        <w:t xml:space="preserve"> </w:t>
      </w:r>
      <w:r/>
    </w:p>
    <w:sectPr>
      <w:footnotePr/>
      <w:endnotePr/>
      <w:type w:val="nextPage"/>
      <w:pgSz w:h="15840" w:orient="portrait" w:w="12240"/>
      <w:pgMar w:top="1365" w:right="1365" w:bottom="1365" w:left="1365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 serif 4">
    <w:panose1 w:val="05040102010807070707"/>
  </w:font>
  <w:font w:name="source sans 3">
    <w:panose1 w:val="05040102010807070707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Georgia">
    <w:panose1 w:val="02040502050405020303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900"/>
        </w:tabs>
        <w:spacing/>
        <w:ind w:hanging="360" w:left="5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900"/>
        </w:tabs>
        <w:spacing/>
        <w:ind w:hanging="360" w:left="5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7"/>
    <w:next w:val="897"/>
    <w:link w:val="8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7"/>
    <w:next w:val="897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7"/>
    <w:next w:val="897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7"/>
    <w:next w:val="897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7"/>
    <w:next w:val="897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7"/>
    <w:next w:val="897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7"/>
    <w:next w:val="897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7"/>
    <w:next w:val="897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7"/>
    <w:next w:val="897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character" w:styleId="846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Title"/>
    <w:basedOn w:val="897"/>
    <w:next w:val="897"/>
    <w:link w:val="8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6">
    <w:name w:val="Title Char"/>
    <w:basedOn w:val="844"/>
    <w:link w:val="8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7">
    <w:name w:val="Subtitle"/>
    <w:basedOn w:val="897"/>
    <w:next w:val="897"/>
    <w:link w:val="8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8">
    <w:name w:val="Subtitle Char"/>
    <w:basedOn w:val="844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7"/>
    <w:next w:val="897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44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1">
    <w:name w:val="List Paragraph"/>
    <w:basedOn w:val="897"/>
    <w:uiPriority w:val="34"/>
    <w:qFormat/>
    <w:pPr>
      <w:pBdr/>
      <w:spacing/>
      <w:ind w:left="720"/>
      <w:contextualSpacing w:val="true"/>
    </w:pPr>
  </w:style>
  <w:style w:type="character" w:styleId="862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7"/>
    <w:next w:val="897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4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6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7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9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70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1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2">
    <w:name w:val="Header"/>
    <w:basedOn w:val="897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Header Char"/>
    <w:basedOn w:val="844"/>
    <w:link w:val="872"/>
    <w:uiPriority w:val="99"/>
    <w:pPr>
      <w:pBdr/>
      <w:spacing/>
      <w:ind/>
    </w:pPr>
  </w:style>
  <w:style w:type="paragraph" w:styleId="874">
    <w:name w:val="Footer"/>
    <w:basedOn w:val="897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Footer Char"/>
    <w:basedOn w:val="844"/>
    <w:link w:val="874"/>
    <w:uiPriority w:val="99"/>
    <w:pPr>
      <w:pBdr/>
      <w:spacing/>
      <w:ind/>
    </w:pPr>
  </w:style>
  <w:style w:type="paragraph" w:styleId="876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7">
    <w:name w:val="footnote text"/>
    <w:basedOn w:val="897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Foot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endnote text"/>
    <w:basedOn w:val="897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Endnote Text Char"/>
    <w:basedOn w:val="844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4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6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7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8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9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0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1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2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3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next w:val="897"/>
    <w:pPr>
      <w:pBdr/>
      <w:spacing/>
      <w:ind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styleId="898" w:customStyle="1">
    <w:name w:val="Verbatim Char"/>
    <w:pPr>
      <w:pBdr/>
      <w:spacing/>
      <w:ind/>
    </w:pPr>
    <w:rPr>
      <w:rFonts w:ascii="Consolas" w:hAnsi="Consolas"/>
      <w:sz w:val="22"/>
    </w:r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Normal Grid"/>
    <w:basedOn w:val="899"/>
    <w:uiPriority w:val="39"/>
    <w:pPr>
      <w:pBdr/>
      <w:spacing w:after="0" w:line="240" w:lineRule="auto"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MedHallu/MedHallu" TargetMode="External"/><Relationship Id="rId10" Type="http://schemas.openxmlformats.org/officeDocument/2006/relationships/hyperlink" Target="https://openreview.net/pdf/de23857f9fad9f25ffd4d423dae4c55a42f84ef0.pdf" TargetMode="External"/><Relationship Id="rId11" Type="http://schemas.openxmlformats.org/officeDocument/2006/relationships/hyperlink" Target="https://arxiv.org/abs/2212.08703" TargetMode="External"/><Relationship Id="rId12" Type="http://schemas.openxmlformats.org/officeDocument/2006/relationships/hyperlink" Target="https://www.jmir.org/2026/1/e91696" TargetMode="External"/><Relationship Id="rId13" Type="http://schemas.openxmlformats.org/officeDocument/2006/relationships/hyperlink" Target="https://www.jmir.org/2026/1/e91696/citations" TargetMode="External"/><Relationship Id="rId14" Type="http://schemas.openxmlformats.org/officeDocument/2006/relationships/hyperlink" Target="https://arxiv.org/html/2406.12387v1" TargetMode="External"/><Relationship Id="rId15" Type="http://schemas.openxmlformats.org/officeDocument/2006/relationships/hyperlink" Target="https://arxiv.org/html/2602.00981v1" TargetMode="External"/><Relationship Id="rId16" Type="http://schemas.openxmlformats.org/officeDocument/2006/relationships/hyperlink" Target="https://www.corti.ai/stories/symphony-for-speech-to-text-the-research-supporting-real-time-medical-voice-interfaces" TargetMode="External"/><Relationship Id="rId17" Type="http://schemas.openxmlformats.org/officeDocument/2006/relationships/hyperlink" Target="https://arxiv.org/abs/2603.16411" TargetMode="External"/><Relationship Id="rId18" Type="http://schemas.openxmlformats.org/officeDocument/2006/relationships/hyperlink" Target="https://arxiv.org/abs/2602.12287v1" TargetMode="External"/><Relationship Id="rId19" Type="http://schemas.openxmlformats.org/officeDocument/2006/relationships/hyperlink" Target="https://audias.ii.uam.es/2026/06/19/adapting-speaker-diarization-to-code-switched-medical-conversations-audias-uam-at-the-displace-m-challenge/" TargetMode="External"/><Relationship Id="rId20" Type="http://schemas.openxmlformats.org/officeDocument/2006/relationships/hyperlink" Target="https://scholar.google.com/citations?user=VZqvNfUAAAAJ&amp;hl=en" TargetMode="External"/><Relationship Id="rId21" Type="http://schemas.openxmlformats.org/officeDocument/2006/relationships/hyperlink" Target="https://ar5iv.labs.arxiv.org/html/2306.15824" TargetMode="External"/><Relationship Id="rId22" Type="http://schemas.openxmlformats.org/officeDocument/2006/relationships/hyperlink" Target="https://www.arxiv.org/pdf/2101.05525.pdf" TargetMode="External"/><Relationship Id="rId23" Type="http://schemas.openxmlformats.org/officeDocument/2006/relationships/hyperlink" Target="https://developer.nvidia.com/blog/entropy-based-methods-for-word-level-asr-confidence-estimation/" TargetMode="External"/><Relationship Id="rId24" Type="http://schemas.openxmlformats.org/officeDocument/2006/relationships/hyperlink" Target="https://dblp.org/pid/53/3130.html" TargetMode="External"/><Relationship Id="rId25" Type="http://schemas.openxmlformats.org/officeDocument/2006/relationships/hyperlink" Target="https://www.isca-archive.org/interspeech_2023/naowarat23b_interspeech.pdf" TargetMode="External"/><Relationship Id="rId26" Type="http://schemas.openxmlformats.org/officeDocument/2006/relationships/hyperlink" Target="https://www.ee.iitb.ac.in/course/~daplab/publications/2024/IS2024_Reading_Miscues_camera.pdf" TargetMode="External"/><Relationship Id="rId27" Type="http://schemas.openxmlformats.org/officeDocument/2006/relationships/hyperlink" Target="https://deep.ai/publication/an-evaluation-of-word-level-confidence-estimation-for-end-to-end-automatic-speech-recognition" TargetMode="External"/><Relationship Id="rId28" Type="http://schemas.openxmlformats.org/officeDocument/2006/relationships/hyperlink" Target="https://www.microsoft.com/en-us/research/wp-content/uploads/2008/01/icassp08b.pdf" TargetMode="External"/><Relationship Id="rId29" Type="http://schemas.openxmlformats.org/officeDocument/2006/relationships/hyperlink" Target="https://ar5iv.labs.arxiv.org/html/2103.06716" TargetMode="External"/><Relationship Id="rId30" Type="http://schemas.openxmlformats.org/officeDocument/2006/relationships/hyperlink" Target="https://formative.jmir.org/2026/1/e90814/" TargetMode="External"/><Relationship Id="rId31" Type="http://schemas.openxmlformats.org/officeDocument/2006/relationships/hyperlink" Target="https://preprints.jmir.org/preprint/96222" TargetMode="External"/><Relationship Id="rId32" Type="http://schemas.openxmlformats.org/officeDocument/2006/relationships/hyperlink" Target="https://www.nature.com/articles/s41598-026-46229-y" TargetMode="External"/><Relationship Id="rId33" Type="http://schemas.openxmlformats.org/officeDocument/2006/relationships/hyperlink" Target="https://www.microsoft.com/en-us/research/wp-content/uploads/2016/02/ConfidenceEstimator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3</cp:revision>
  <dcterms:created xsi:type="dcterms:W3CDTF">2026-07-12T10:56:21Z</dcterms:created>
  <dcterms:modified xsi:type="dcterms:W3CDTF">2026-07-14T08:28:46Z</dcterms:modified>
</cp:coreProperties>
</file>