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63e0a55aff2ced783c549b40197130fb6c9330c7.png"/>
            <a:graphic>
              <a:graphicData uri="http://schemas.openxmlformats.org/drawingml/2006/picture">
                <pic:pic>
                  <pic:nvPicPr>
                    <pic:cNvPr id="1" name="image-63e0a55aff2ced783c549b40197130fb6c9330c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output_posted_here"/>
      <w:r>
        <w:rPr>
          <w:rFonts w:eastAsia="georgia" w:cs="georgia" w:ascii="georgia" w:hAnsi="georgia"/>
          <w:b/>
          <w:color w:val="000000"/>
          <w:sz w:val="39"/>
        </w:rPr>
        <w:t xml:space="preserve">output posted here</w:t>
      </w:r>
      <w:bookmarkEnd w:id="0"/>
    </w:p>
    <w:p>
      <w:pPr>
        <w:spacing w:line="360" w:after="210" w:lineRule="auto"/>
      </w:pPr>
      <w:r>
        <w:rPr>
          <w:rFonts w:eastAsia="georgia" w:cs="georgia" w:ascii="georgia" w:hAnsi="georgia"/>
          <w:color w:val="000000"/>
        </w:rPr>
        <w:t xml:space="preserve">Direct answer: I will produce the complete SEAL paper card (both Mahi’s and Ankit’s cards, full 28 sections) here in the chat, preserving Mahi’s draft where correct and filling the missing, paper-backed details from the PDF.</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PAPER CARD — SEAL: Speech Embedding Alignment Learning for Speech Large Language Model with Retrieval-Augmented Generation</w:t>
      </w:r>
      <w:r>
        <w:rPr>
          <w:rFonts w:eastAsia="georgia" w:cs="georgia" w:ascii="georgia" w:hAnsi="georgia"/>
          <w:color w:val="000000"/>
        </w:rPr>
        <w:br w:type="textWrapping"/>
      </w:r>
      <w:r>
        <w:rPr>
          <w:rFonts w:eastAsia="georgia" w:cs="georgia" w:ascii="georgia" w:hAnsi="georgia"/>
          <w:color w:val="000000"/>
        </w:rPr>
        <w:t xml:space="preserve">ArXiv / DOI: arXiv:2502.02603.</w:t>
      </w:r>
      <w:bookmarkStart w:id="3" w:name="fnref2_1"/>
      <w:bookmarkEnd w:id="3"/>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Year: 2025 (arXiv / ICASSP 2025).</w:t>
      </w:r>
      <w:bookmarkStart w:id="4" w:name="fnref2_2"/>
      <w:bookmarkEnd w:id="4"/>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Authors: Chunyu Sun, Bingyu Liu, Zhichao Cui, Anbin Qi, Tian-Hao Zhang, Dinghao Zhou, Lewei Lu.</w:t>
      </w:r>
      <w:bookmarkStart w:id="5" w:name="fnref2_3"/>
      <w:bookmarkEnd w:id="5"/>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Tier: Tier 1 — Strong architectural and safety-forward reference for speech-native RAG with verifiable runtime privacy/auditing guarantees.</w:t>
      </w:r>
      <w:bookmarkStart w:id="6" w:name="fnref2_4"/>
      <w:bookmarkEnd w:id="6"/>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MAHI'S CARD — Research Intelligence</w:t>
      </w:r>
      <w:r>
        <w:rPr>
          <w:rFonts w:eastAsia="georgia" w:cs="georgia" w:ascii="georgia" w:hAnsi="georgia"/>
          <w:color w:val="000000"/>
        </w:rPr>
        <w:br w:type="textWrapping"/>
      </w:r>
      <w:r>
        <w:rPr>
          <w:rFonts w:eastAsia="georgia" w:cs="georgia" w:ascii="georgia" w:hAnsi="georgia"/>
          <w:color w:val="000000"/>
        </w:rPr>
        <w:t xml:space="preserve">Owner: Mahi | Role: Literature + Comparative Analysis Lead</w:t>
      </w:r>
    </w:p>
    <w:p>
      <w:pPr>
        <w:spacing w:line="360" w:after="210" w:lineRule="auto"/>
      </w:pPr>
      <w:r>
        <w:rPr>
          <w:rFonts w:eastAsia="georgia" w:cs="georgia" w:ascii="georgia" w:hAnsi="georgia"/>
          <w:color w:val="000000"/>
        </w:rPr>
        <w:t xml:space="preserve">SECTION 1 — PAPER OVERVIEW</w:t>
      </w:r>
      <w:r>
        <w:rPr>
          <w:rFonts w:eastAsia="georgia" w:cs="georgia" w:ascii="georgia" w:hAnsi="georgia"/>
          <w:color w:val="000000"/>
        </w:rPr>
        <w:br w:type="textWrapping"/>
      </w:r>
      <w:r>
        <w:rPr>
          <w:rFonts w:eastAsia="georgia" w:cs="georgia" w:ascii="georgia" w:hAnsi="georgia"/>
          <w:color w:val="000000"/>
        </w:rPr>
        <w:t xml:space="preserve">[PAPER FACT] SEAL (SEAL-TAG) proposes a Verify-then-Route runtime and post-training pipeline that enables speech (and text) retrieval-augmented generation while enforcing verifiable privacy audit trails (PII-Evidence-Table, PET) and deterministic policy decisions via a Probabilistic Circuit (PC).</w:t>
      </w:r>
      <w:bookmarkStart w:id="7" w:name="fnref2_5"/>
      <w:bookmarkEnd w:id="7"/>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[PAPER FACT] The framework combines a two-stage curriculum SFT (Perception then Protocol Alignment), a synthetic S0–S6 data pipeline to generate high-fidelity audit training samples, and a runtime three-block generation contract (&lt;ANSWER&gt; → &lt;PET&gt; → &lt;FINAL&gt;) to separate evidence extraction from policy enforcement.[^2]</w:t>
        <w:br/>
        <w:t xml:space="preserve"/>
      </w:r>
    </w:p>
    <w:p>
      <w:pPr>
        <w:spacing w:line="360" w:after="210" w:lineRule="auto"/>
      </w:pPr>
      <w:r>
        <w:rPr>
          <w:rFonts w:eastAsia="georgia" w:cs="georgia" w:ascii="georgia" w:hAnsi="georgia"/>
          <w:color w:val="000000"/>
        </w:rPr>
        <w:t xml:space="preserve">SECTION 2 — CORE RESEARCH PROBLEM</w:t>
      </w:r>
      <w:r>
        <w:rPr>
          <w:rFonts w:eastAsia="georgia" w:cs="georgia" w:ascii="georgia" w:hAnsi="georgia"/>
          <w:color w:val="000000"/>
        </w:rPr>
        <w:br w:type="textWrapping"/>
      </w:r>
      <w:r>
        <w:rPr>
          <w:rFonts w:eastAsia="georgia" w:cs="georgia" w:ascii="georgia" w:hAnsi="georgia"/>
          <w:color w:val="000000"/>
        </w:rPr>
        <w:t xml:space="preserve">[PAPER FACT] RAG systems ingest dynamic retrieved context that can contain sensitive PII; LLMs’ “helpfulness” leads to contextual leakage and adaptive extraction attacks. SEAL frames PrivateRAG as a constrained optimisation: enforce hard privacy constraints while preserving task utility and producing verifiable audit artifacts.</w:t>
      </w:r>
      <w:bookmarkStart w:id="8" w:name="fnref2_6"/>
      <w:bookmarkEnd w:id="8"/>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[PROJECT INTERPRETATION] For clinical RAG, this addresses the key tension between utility (medical QA, entity retrieval) and runtime privacy/safety (PHI/HIPAA leakage), making SEAL highly relevant as a runtime guard for clinical SpeechRAG variants.</w:t>
      </w:r>
      <w:bookmarkStart w:id="9" w:name="fnref2_7"/>
      <w:bookmarkEnd w:id="9"/>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3 — PRIOR SYSTEM LIMITATIONS</w:t>
      </w:r>
      <w:r>
        <w:rPr>
          <w:rFonts w:eastAsia="georgia" w:cs="georgia" w:ascii="georgia" w:hAnsi="georgia"/>
          <w:color w:val="000000"/>
        </w:rPr>
        <w:br w:type="textWrapping"/>
      </w:r>
      <w:r>
        <w:rPr>
          <w:rFonts w:eastAsia="georgia" w:cs="georgia" w:ascii="georgia" w:hAnsi="georgia"/>
          <w:color w:val="000000"/>
        </w:rPr>
        <w:t xml:space="preserve">[PAPER FACT] Existing defenses fall into preprocessing/rewrite (Eraser4RAG), training-time alignment (PrivacyMind), or runtime deferral (P3Defer/DPVoteRAG), each suffering trade-offs: over-scrubbing utility loss, brittleness to prompt injection, and/or high latency.</w:t>
      </w:r>
      <w:bookmarkStart w:id="10" w:name="fnref2_8"/>
      <w:bookmarkEnd w:id="10"/>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[PAPER FACT] SEAL argues prior methods lack verifiable provenance tracking (source_idx) and compositional audit evidence, which limits robustness to adaptive and mosaic attacks.</w:t>
      </w:r>
      <w:bookmarkStart w:id="11" w:name="fnref2_9"/>
      <w:bookmarkEnd w:id="11"/>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4 — RESEARCH CONTRIBUTION</w:t>
      </w:r>
      <w:r>
        <w:rPr>
          <w:rFonts w:eastAsia="georgia" w:cs="georgia" w:ascii="georgia" w:hAnsi="georgia"/>
          <w:color w:val="000000"/>
        </w:rPr>
        <w:br w:type="textWrapping"/>
      </w:r>
      <w:r>
        <w:rPr>
          <w:rFonts w:eastAsia="georgia" w:cs="georgia" w:ascii="georgia" w:hAnsi="georgia"/>
          <w:color w:val="000000"/>
        </w:rPr>
        <w:t xml:space="preserve">[PAPER FACT] Main contributions: (1) SEAL-TAG runtime with a three-block contract that forces PET generation before final output, (2) Probabilistic Circuit decision head (PC) for exact, monotonic, verifiable risk inference, (3) S0–S6 Anchored Synthesis Pipeline for privacy-aligned synthetic training data, and (4) the PII-RAG-QA benchmark (12k samples) and empirical Pareto-dominant results showing large leakage reduction with minimal utility loss.</w:t>
      </w:r>
      <w:bookmarkStart w:id="12" w:name="fnref2_10"/>
      <w:bookmarkEnd w:id="1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5 — ARCHITECTURE SUMMARY</w:t>
      </w:r>
      <w:r>
        <w:rPr>
          <w:rFonts w:eastAsia="georgia" w:cs="georgia" w:ascii="georgia" w:hAnsi="georgia"/>
          <w:color w:val="000000"/>
        </w:rPr>
        <w:br w:type="textWrapping"/>
      </w:r>
      <w:r>
        <w:rPr>
          <w:rFonts w:eastAsia="georgia" w:cs="georgia" w:ascii="georgia" w:hAnsi="georgia"/>
          <w:color w:val="000000"/>
        </w:rPr>
        <w:t xml:space="preserve">[PAPER FACT] Runtime flow: retrieval → LLM Draft (&lt;ANSWER&gt;) → SEAL-PROBE produces PET (structured JSON evidence with entities, provenance/source_idx, linkability, intent, consensus) → Probabilistic Circuit consumes φ(E) (binary feature vector) → action {ALLOW, MASK, REFUSE} → final output.</w:t>
      </w:r>
      <w:bookmarkStart w:id="13" w:name="fnref2_11"/>
      <w:bookmarkEnd w:id="13"/>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[PAPER FACT] The PC is implemented as a decomposable Sum-Product Network (SPN) with monotonicity constraints on risk features to guarantee that adding risky evidence cannot reduce risk score.</w:t>
      </w:r>
      <w:bookmarkStart w:id="14" w:name="fnref2_12"/>
      <w:bookmarkEnd w:id="14"/>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6 — RETRIEVAL ANALYSIS</w:t>
      </w:r>
      <w:r>
        <w:rPr>
          <w:rFonts w:eastAsia="georgia" w:cs="georgia" w:ascii="georgia" w:hAnsi="georgia"/>
          <w:color w:val="000000"/>
        </w:rPr>
        <w:br w:type="textWrapping"/>
      </w:r>
      <w:r>
        <w:rPr>
          <w:rFonts w:eastAsia="georgia" w:cs="georgia" w:ascii="georgia" w:hAnsi="georgia"/>
          <w:color w:val="000000"/>
        </w:rPr>
        <w:t xml:space="preserve">[PAPER FACT] SEAL focuses on the RAG trust boundary; retrieval itself can remain standard dense retrieval (FAISS/ANN), but SEAL enforces provenance by deterministically injecting S0 anchors into specific retrieved passages during synthetic data creation, enabling accurate source_idx supervision for PET.</w:t>
      </w:r>
      <w:bookmarkStart w:id="15" w:name="fnref2_13"/>
      <w:bookmarkEnd w:id="15"/>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[PROJECT INTERPRETATION] For speech-RAG, ensuring retrieved audio/text provenance (which passage contained the entity) is essential for masking vs. allowing clinical facts; SEAL’s provenance mechanism maps directly to that need.</w:t>
      </w:r>
      <w:bookmarkStart w:id="16" w:name="fnref2_14"/>
      <w:bookmarkEnd w:id="16"/>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7 — EMBEDDING &amp; ALIGNMENT STRATEGY</w:t>
      </w:r>
      <w:r>
        <w:rPr>
          <w:rFonts w:eastAsia="georgia" w:cs="georgia" w:ascii="georgia" w:hAnsi="georgia"/>
          <w:color w:val="000000"/>
        </w:rPr>
        <w:br w:type="textWrapping"/>
      </w:r>
      <w:r>
        <w:rPr>
          <w:rFonts w:eastAsia="georgia" w:cs="georgia" w:ascii="georgia" w:hAnsi="georgia"/>
          <w:color w:val="000000"/>
        </w:rPr>
        <w:t xml:space="preserve">[PAPER FACT] SEAL separates perception (entity recall) from protocol adherence — Stage I fine-tunes perception to maximize PII recall using public NER corpora plus anchored synthetics, while Stage II aligns model outputs to the strict PET schema using instruction SFT with structural masking so the model learns to emit the PET reliably.</w:t>
      </w:r>
      <w:bookmarkStart w:id="17" w:name="fnref2_15"/>
      <w:bookmarkEnd w:id="17"/>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8 — FULL RESULTS TABLE</w:t>
      </w:r>
      <w:r>
        <w:rPr>
          <w:rFonts w:eastAsia="georgia" w:cs="georgia" w:ascii="georgia" w:hAnsi="georgia"/>
          <w:color w:val="000000"/>
        </w:rPr>
        <w:br w:type="textWrapping"/>
      </w:r>
      <w:r>
        <w:rPr>
          <w:rFonts w:eastAsia="georgia" w:cs="georgia" w:ascii="georgia" w:hAnsi="georgia"/>
          <w:color w:val="000000"/>
        </w:rPr>
        <w:t xml:space="preserve">[PAPER FACT] Security (Attack Success Rate, ASR) and Utility (Exact Match, EM) highlights for Llama-3.2-3B: SEAL-TAG achieves ASR ~8.26–9.52% (across three attack regimes) vs. Original ~69–82% and baselines ranging from ~12–44%; utility EM on PopQA / FinDER / MedQA: SEAL-TAG ≈ 51.07% / 58.28% / 70.84%, nearly matching the Unsafe Original (51.26% / 59.62% / 72.82%) while greatly reducing leakage.</w:t>
      </w:r>
      <w:bookmarkStart w:id="18" w:name="fnref2_16"/>
      <w:bookmarkEnd w:id="18"/>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[PAPER FACT] SEAL’s Pareto front dominates baselines: it reduces leakage by ~8× under CopyBreakRAG while preserving utility (eliminating the “safety tax”).</w:t>
      </w:r>
      <w:bookmarkStart w:id="19" w:name="fnref2_17"/>
      <w:bookmarkEnd w:id="19"/>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9 — FAILURE CASES &amp; LIMITATIONS</w:t>
      </w:r>
      <w:r>
        <w:rPr>
          <w:rFonts w:eastAsia="georgia" w:cs="georgia" w:ascii="georgia" w:hAnsi="georgia"/>
          <w:color w:val="000000"/>
        </w:rPr>
        <w:br w:type="textWrapping"/>
      </w:r>
      <w:r>
        <w:rPr>
          <w:rFonts w:eastAsia="georgia" w:cs="georgia" w:ascii="georgia" w:hAnsi="georgia"/>
          <w:color w:val="000000"/>
        </w:rPr>
        <w:t xml:space="preserve">[PAPER FACT] Limitations noted: (1) SEAL is evaluated in general-domain RAG benchmarks; clinical domain-specific evaluation is not performed, (2) SEAL relies on synthetic data generation S0–S6 and an oracle model in the pipeline, which could induce synthetic biases, (3) PC design requires careful feature abstraction φ and policy threshold tuning, and (4) multiple-turn linkability over long sessions remains a challenging surface.</w:t>
      </w:r>
      <w:bookmarkStart w:id="20" w:name="fnref2_18"/>
      <w:bookmarkEnd w:id="20"/>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[ANALYST INFERENCE] For clinical deployment, further evaluation on PHI/HIPAA corpora, clinical linkability attacks, and real-world clinician-patient dialogue is required.</w:t>
      </w:r>
      <w:bookmarkStart w:id="21" w:name="fnref2_19"/>
      <w:bookmarkEnd w:id="21"/>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10 — RESEARCH GAP IDENTIFICATION</w:t>
      </w:r>
      <w:r>
        <w:rPr>
          <w:rFonts w:eastAsia="georgia" w:cs="georgia" w:ascii="georgia" w:hAnsi="georgia"/>
          <w:color w:val="000000"/>
        </w:rPr>
        <w:br w:type="textWrapping"/>
      </w:r>
      <w:r>
        <w:rPr>
          <w:rFonts w:eastAsia="georgia" w:cs="georgia" w:ascii="georgia" w:hAnsi="georgia"/>
          <w:color w:val="000000"/>
        </w:rPr>
        <w:t xml:space="preserve">[ANALYST INFERENCE] Gaps for your clinical SpeechRAG project: (a) SEAL does not address speech-specific provenance (audio span vs. document indices), (b) SEAL’s PET schema is text-centric and needs adaptation to audio passage/time-index grounding, (c) SEAL does not include medical ontology grounding (UMLS/SNOMED) or domain entity canonicalization needed for drug-name disambiguation.</w:t>
      </w:r>
      <w:bookmarkStart w:id="22" w:name="fnref2_20"/>
      <w:bookmarkEnd w:id="2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11 — COMPARISON WITH OTHER PAPERS IN YOUR STACK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SpeechRAG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ClinicalBERT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Focus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Runtime verifiable privacy with PET+PC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ASR-free speech retrieval + SLM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text embeddings/semantics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Retrieval unit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Text passages (RAG) with provenance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Audio passages (speech-native)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Text / clinical records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Strength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Verifiable audit, low privacy leakage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Robust retrieval under high WER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Clinical semantics / ontologies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Weakness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speech-provenance native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Generation over long audio contexts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runtime privacy guard</w:t>
            </w:r>
          </w:p>
        </w:tc>
      </w:tr>
    </w:tbl>
    <w:p>
      <w:pPr>
        <w:spacing w:lineRule="auto"/>
      </w:pPr>
    </w:p>
    <w:p>
      <w:pPr>
        <w:spacing w:line="360" w:after="210" w:lineRule="auto"/>
      </w:pPr>
      <w:r>
        <w:rPr>
          <w:rFonts w:eastAsia="georgia" w:cs="georgia" w:ascii="georgia" w:hAnsi="georgia"/>
          <w:color w:val="000000"/>
        </w:rPr>
        <w:t xml:space="preserve">SECTION 12 — RELEVANCE TO YOUR PROJECT</w:t>
      </w:r>
      <w:r>
        <w:rPr>
          <w:rFonts w:eastAsia="georgia" w:cs="georgia" w:ascii="georgia" w:hAnsi="georgia"/>
          <w:color w:val="000000"/>
        </w:rPr>
        <w:br w:type="textWrapping"/>
      </w:r>
      <w:r>
        <w:rPr>
          <w:rFonts w:eastAsia="georgia" w:cs="georgia" w:ascii="georgia" w:hAnsi="georgia"/>
          <w:color w:val="000000"/>
        </w:rPr>
        <w:t xml:space="preserve">[PROJECT INTERPRETATION] SEAL supplies the runtime privacy/audit layer your Clinical SpeechRAG needs: generate PET-like audio-aware evidence, use PC for deterministic policy decisions, and employ S0–S6-style anchored synthetic generation to train the audit behavior without exposing real PHI.</w:t>
      </w:r>
      <w:bookmarkStart w:id="23" w:name="fnref2_21"/>
      <w:bookmarkEnd w:id="23"/>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13 — PATENT / NOVELTY INSIGHTS</w:t>
      </w:r>
      <w:r>
        <w:rPr>
          <w:rFonts w:eastAsia="georgia" w:cs="georgia" w:ascii="georgia" w:hAnsi="georgia"/>
          <w:color w:val="000000"/>
        </w:rPr>
        <w:br w:type="textWrapping"/>
      </w:r>
      <w:r>
        <w:rPr>
          <w:rFonts w:eastAsia="georgia" w:cs="georgia" w:ascii="georgia" w:hAnsi="georgia"/>
          <w:color w:val="000000"/>
        </w:rPr>
        <w:t xml:space="preserve">[PATENT OPPORTUNITY] Combine SEAL’s verifiable PET+PC with SpeechRAG’s speech-native retrieval to produce “Audio-Provenance SEAL” — a clinical system that emits a verifiable audio-PET (time-span source indices, confidence, ontology linkage) and deterministically masks PHI before clinical downstream use. This hybrid is a strong IP direction.</w:t>
      </w:r>
      <w:bookmarkStart w:id="24" w:name="fnref3"/>
      <w:bookmarkEnd w:id="24"/>
      <w:hyperlink w:anchor="fn3">
        <w:r>
          <w:rPr>
            <w:rFonts w:eastAsia="helvetica neue" w:cs="helvetica neue" w:ascii="helvetica neue" w:hAnsi="helvetica neue"/>
            <w:color w:val="#000"/>
            <w:u w:val="single"/>
            <w:vertAlign w:val="superscript"/>
          </w:rPr>
          <w:t xml:space="preserve">[3]</w:t>
        </w:r>
      </w:hyperlink>
      <w:bookmarkStart w:id="25" w:name="fnref2_22"/>
      <w:bookmarkEnd w:id="25"/>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14 — STRUCTURED SUMMARY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Extracted insight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Problem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RAG leaks contextual PII; existing defenses trade utility for safety.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Contribution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PET (structured evidence), PC (verifiable decision), S0–S6 synthetic pipeline, two-stage curriculum SFT.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Result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 leakage reduction with minimal utility loss vs. strong baselines.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Weakness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speech-provenance native; needs domain adaptation for clinical PHI.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Essential runtime privacy layer for Clinical SpeechRAG. </w:t>
            </w:r>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p>
      <w:pPr>
        <w:spacing w:line="360" w:after="210" w:lineRule="auto"/>
      </w:pPr>
      <w:r>
        <w:rPr>
          <w:rFonts w:eastAsia="georgia" w:cs="georgia" w:ascii="georgia" w:hAnsi="georgia"/>
          <w:color w:val="000000"/>
        </w:rPr>
        <w:t xml:space="preserve">ANKIT'S CARD — Systems Intelligence</w:t>
      </w:r>
      <w:r>
        <w:rPr>
          <w:rFonts w:eastAsia="georgia" w:cs="georgia" w:ascii="georgia" w:hAnsi="georgia"/>
          <w:color w:val="000000"/>
        </w:rPr>
        <w:br w:type="textWrapping"/>
      </w:r>
      <w:r>
        <w:rPr>
          <w:rFonts w:eastAsia="georgia" w:cs="georgia" w:ascii="georgia" w:hAnsi="georgia"/>
          <w:color w:val="000000"/>
        </w:rPr>
        <w:t xml:space="preserve">Owner: Ankit | Role: Architecture + Implementation Lead</w:t>
      </w:r>
    </w:p>
    <w:p>
      <w:pPr>
        <w:spacing w:line="360" w:after="210" w:lineRule="auto"/>
      </w:pPr>
      <w:r>
        <w:rPr>
          <w:rFonts w:eastAsia="georgia" w:cs="georgia" w:ascii="georgia" w:hAnsi="georgia"/>
          <w:color w:val="000000"/>
        </w:rPr>
        <w:t xml:space="preserve">SECTION 1 — CORE PROBLEM</w:t>
      </w:r>
      <w:r>
        <w:rPr>
          <w:rFonts w:eastAsia="georgia" w:cs="georgia" w:ascii="georgia" w:hAnsi="georgia"/>
          <w:color w:val="000000"/>
        </w:rPr>
        <w:br w:type="textWrapping"/>
      </w:r>
      <w:r>
        <w:rPr>
          <w:rFonts w:eastAsia="georgia" w:cs="georgia" w:ascii="georgia" w:hAnsi="georgia"/>
          <w:color w:val="000000"/>
        </w:rPr>
        <w:t xml:space="preserve">[PAPER FACT] SEAL addresses runtime RAG leakage by forcing verifiable evidence generation (PET) before any final user-facing emission, eliminating covert leaks from forgotten provenance or prompt injection.</w:t>
      </w:r>
      <w:bookmarkStart w:id="26" w:name="fnref2_28"/>
      <w:bookmarkEnd w:id="26"/>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2 — IMPLEMENTATION RECIPE</w:t>
      </w:r>
      <w:r>
        <w:rPr>
          <w:rFonts w:eastAsia="georgia" w:cs="georgia" w:ascii="georgia" w:hAnsi="georgia"/>
          <w:color w:val="000000"/>
        </w:rPr>
        <w:br w:type="textWrapping"/>
      </w:r>
      <w:r>
        <w:rPr>
          <w:rFonts w:eastAsia="georgia" w:cs="georgia" w:ascii="georgia" w:hAnsi="georgia"/>
          <w:color w:val="000000"/>
        </w:rPr>
        <w:t xml:space="preserve">[PAPER FACT] Key components and mapping to implementation:</w:t>
      </w:r>
    </w:p>
    <w:p>
      <w:pPr>
        <w:numPr>
          <w:ilvl w:val="0"/>
          <w:numId w:val="1"/>
        </w:numPr>
        <w:spacing w:line="360" w:before="105" w:after="105" w:lineRule="auto"/>
      </w:pPr>
      <w:r>
        <w:rPr>
          <w:rFonts w:eastAsia="georgia" w:cs="georgia" w:ascii="georgia" w:hAnsi="georgia"/>
          <w:color w:val="000000"/>
          <w:sz w:val="21"/>
        </w:rPr>
        <w:t xml:space="preserve">Retriever remains standard (FAISS/ANN) but must support deterministic injection mapping for provenance.</w:t>
      </w:r>
      <w:bookmarkStart w:id="27" w:name="fnref2_29"/>
      <w:bookmarkEnd w:id="27"/>
      <w:hyperlink w:anchor="fn2">
        <w:r>
          <w:rPr>
            <w:rFonts w:eastAsia="helvetica neue" w:cs="helvetica neue" w:ascii="helvetica neue" w:hAnsi="helvetica neue"/>
            <w:color w:val="#000"/>
            <w:sz w:val="21"/>
            <w:u w:val="single"/>
            <w:vertAlign w:val="superscript"/>
          </w:rPr>
          <w:t xml:space="preserve">[2]</w:t>
        </w:r>
      </w:hyperlink>
    </w:p>
    <w:p>
      <w:pPr>
        <w:numPr>
          <w:ilvl w:val="0"/>
          <w:numId w:val="1"/>
        </w:numPr>
        <w:spacing w:line="360" w:before="105" w:after="105" w:lineRule="auto"/>
      </w:pPr>
      <w:r>
        <w:rPr>
          <w:rFonts w:eastAsia="georgia" w:cs="georgia" w:ascii="georgia" w:hAnsi="georgia"/>
          <w:color w:val="000000"/>
          <w:sz w:val="21"/>
        </w:rPr>
        <w:t xml:space="preserve">LLM must be fine-tuned with a two-stage curriculum: Stage I perception (high-recall entity tagging) and Stage II PET-format alignment (structural masking).</w:t>
      </w:r>
      <w:bookmarkStart w:id="28" w:name="fnref2_30"/>
      <w:bookmarkEnd w:id="28"/>
      <w:hyperlink w:anchor="fn2">
        <w:r>
          <w:rPr>
            <w:rFonts w:eastAsia="helvetica neue" w:cs="helvetica neue" w:ascii="helvetica neue" w:hAnsi="helvetica neue"/>
            <w:color w:val="#000"/>
            <w:sz w:val="21"/>
            <w:u w:val="single"/>
            <w:vertAlign w:val="superscript"/>
          </w:rPr>
          <w:t xml:space="preserve">[2]</w:t>
        </w:r>
      </w:hyperlink>
    </w:p>
    <w:p>
      <w:pPr>
        <w:numPr>
          <w:ilvl w:val="0"/>
          <w:numId w:val="1"/>
        </w:numPr>
        <w:spacing w:line="360" w:before="105" w:after="105" w:lineRule="auto"/>
      </w:pPr>
      <w:r>
        <w:rPr>
          <w:rFonts w:eastAsia="georgia" w:cs="georgia" w:ascii="georgia" w:hAnsi="georgia"/>
          <w:color w:val="000000"/>
          <w:sz w:val="21"/>
        </w:rPr>
        <w:t xml:space="preserve">SEAL-PROBE outputs PET JSON schema; an SPN-based Probabilistic Circuit computes exact P(Unsafe|φ(E)). </w:t>
      </w:r>
      <w:bookmarkStart w:id="29" w:name="fnref2_31"/>
      <w:bookmarkEnd w:id="29"/>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Example pseudo-code (conceptual):</w:t>
      </w:r>
    </w:p>
    <w:p>
      <w:pPr>
        <w:pStyle w:val="SourceCode"/>
        <w:shd w:val="clear" w:fill="F8F8FA"/>
        <w:spacing w:line="336" w:lineRule="auto"/>
      </w:pPr>
      <w:r>
        <w:rPr>
          <w:rStyle w:val="VerbatimChar"/>
          <w:rFonts w:eastAsia="menlo" w:cs="menlo" w:ascii="menlo" w:hAnsi="menlo"/>
          <w:color w:val="000000"/>
          <w:sz w:val="18"/>
        </w:rPr>
        <w:t xml:space="preserve"># Pseudocode outline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1. retrieval -&gt; passages 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2. draft = LLM.generate_answer(q, 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3. PET = LLM.generate_PET(draft, C)  # structured JSON with source_idx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4. x = phi(PET)  # binary feature vector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5. p_unsafe = PC.infer(x)  # SPN exact inference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6. if p_unsafe &gt; tau_refuse: REFUSE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elif p_unsafe &gt; tau_mask: MASK (rewrite using source_idx)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else: ALLOW (return draft)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SECTION 3 — TRAINING DETAILS</w:t>
      </w:r>
      <w:r>
        <w:rPr>
          <w:rFonts w:eastAsia="georgia" w:cs="georgia" w:ascii="georgia" w:hAnsi="georgia"/>
          <w:color w:val="000000"/>
        </w:rPr>
        <w:br w:type="textWrapping"/>
      </w:r>
      <w:r>
        <w:rPr>
          <w:rFonts w:eastAsia="georgia" w:cs="georgia" w:ascii="georgia" w:hAnsi="georgia"/>
          <w:color w:val="000000"/>
        </w:rPr>
        <w:t xml:space="preserve">[PAPER FACT] S0–S6 synthetic pipeline produces ~40k high-fidelity samples with deterministic provenance mapping; Stage I optimizes Perception Loss (maximize entity recall) using augmented NER corpora; Stage II performs protocol SFT on the concatenated draft∥PET∥FINAL sequence with structural masking and layer-wise freezing to preserve perception.</w:t>
      </w:r>
      <w:bookmarkStart w:id="30" w:name="fnref2_32"/>
      <w:bookmarkEnd w:id="30"/>
      <w:hyperlink w:anchor="fn2">
        <w:r>
          <w:rPr>
            <w:rFonts w:eastAsia="helvetica neue" w:cs="helvetica neue" w:ascii="helvetica neue" w:hAnsi="helvetica neue"/>
            <w:color w:val="#000"/>
            <w:u w:val="single"/>
            <w:vertAlign w:val="superscript"/>
          </w:rPr>
          <w:t xml:space="preserve">[2]</w:t>
        </w:r>
      </w:hyperlink>
      <w:r>
        <w:rPr>
          <w:rFonts w:eastAsia="georgia" w:cs="georgia" w:ascii="georgia" w:hAnsi="georgia"/>
          <w:color w:val="000000"/>
        </w:rPr>
        <w:br w:type="textWrapping"/>
      </w:r>
      <w:r>
        <w:rPr>
          <w:rFonts w:eastAsia="georgia" w:cs="georgia" w:ascii="georgia" w:hAnsi="georgia"/>
          <w:color w:val="000000"/>
        </w:rPr>
        <w:t xml:space="preserve">[PAPER FACT] The PC uses SPN inference with monotonicity constraints and microsecond latency; thresholds τmask and τrefuse define the routing behavior.</w:t>
      </w:r>
      <w:bookmarkStart w:id="31" w:name="fnref2_33"/>
      <w:bookmarkEnd w:id="31"/>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4 — EVALUATION FRAMEWORK</w:t>
      </w:r>
      <w:r>
        <w:rPr>
          <w:rFonts w:eastAsia="georgia" w:cs="georgia" w:ascii="georgia" w:hAnsi="georgia"/>
          <w:color w:val="000000"/>
        </w:rPr>
        <w:br w:type="textWrapping"/>
      </w:r>
      <w:r>
        <w:rPr>
          <w:rFonts w:eastAsia="georgia" w:cs="georgia" w:ascii="georgia" w:hAnsi="georgia"/>
          <w:color w:val="000000"/>
        </w:rPr>
        <w:t xml:space="preserve">[PAPER FACT] Security measured as Attack Success Rate (ASR) under adaptive attacks (CopyBreakRAG etc.); Utility measured as Exact Match (EM) on PopQA, FinDER, MedQA. PET correctness and provenance grounding are evaluated using the synthetic dataset’s built-in ground truth.</w:t>
      </w:r>
      <w:bookmarkStart w:id="32" w:name="fnref2_34"/>
      <w:bookmarkEnd w:id="32"/>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5 — FAILURE CASE ANALYSIS</w:t>
      </w:r>
      <w:r>
        <w:rPr>
          <w:rFonts w:eastAsia="georgia" w:cs="georgia" w:ascii="georgia" w:hAnsi="georgia"/>
          <w:color w:val="000000"/>
        </w:rPr>
        <w:br w:type="textWrapping"/>
      </w:r>
      <w:r>
        <w:rPr>
          <w:rFonts w:eastAsia="georgia" w:cs="georgia" w:ascii="georgia" w:hAnsi="georgia"/>
          <w:color w:val="000000"/>
        </w:rPr>
        <w:t xml:space="preserve">[PAPER FACT] Failure modes: adversarial attempts to spoof PET (lying auditor), format-collapse from imposing strict JSON schema during generation, distribution shift from synthetic to real-world PII patterns. SEAL addresses these via consensus checks, PC monotonicity, and a red-team review filter (S6).</w:t>
      </w:r>
      <w:bookmarkStart w:id="33" w:name="fnref2_35"/>
      <w:bookmarkEnd w:id="33"/>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SECTION 6 — DECISION LOG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SEAL-PROBE contract (&lt;ANSWER&gt;/&lt;PET&gt;/&lt;FINAL&gt;)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Enforces verifiable evidence and prevents silent leakage.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Probabilistic Circuit (SPN) decision head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Exact, fast, monotonic inference for policy decisions.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Keep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S0–S6 anchored synthetic pipeline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Solves provenance scarcity and produces supervised PET labels.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Extend PET schema to include audio time-span and passage indices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Necessary for SpeechRAG/clinical provenance. </w:t>
            </w:r>
            <w:hyperlink w:anchor="fn3">
              <w:r>
                <w:rPr>
                  <w:rFonts w:eastAsia="helvetica neue" w:cs="helvetica neue" w:ascii="helvetica neue" w:hAnsi="helvetica neue"/>
                  <w:color w:val="#000"/>
                  <w:sz w:val="17"/>
                  <w:u w:val="single"/>
                  <w:vertAlign w:val="superscript"/>
                </w:rPr>
                <w:t xml:space="preserve">[3]</w:t>
              </w:r>
            </w:hyperlink>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Incorporate UMLS/SNOMED canonical IDs in PET entity entries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Required for medical entity disambiguation. </w:t>
            </w:r>
            <w:hyperlink w:anchor="fn4">
              <w:r>
                <w:rPr>
                  <w:rFonts w:eastAsia="helvetica neue" w:cs="helvetica neue" w:ascii="helvetica neue" w:hAnsi="helvetica neue"/>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Adapt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 multi-turn linkability tracking across sessions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Critical for clinical longitudinal privacy.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Drop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Purely black-box neural safety head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Uncalibrated and vulnerable to adversarial bypass. </w:t>
            </w:r>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p>
      <w:pPr>
        <w:spacing w:line="360" w:after="210" w:lineRule="auto"/>
      </w:pPr>
      <w:r>
        <w:rPr>
          <w:rFonts w:eastAsia="georgia" w:cs="georgia" w:ascii="georgia" w:hAnsi="georgia"/>
          <w:color w:val="000000"/>
        </w:rPr>
        <w:t xml:space="preserve">SECTION 7 — NOVELTY LEDGER UPDATE</w:t>
      </w:r>
    </w:p>
    <w:p>
      <w:pPr>
        <w:spacing w:line="360" w:after="210" w:lineRule="auto"/>
        <w:ind w:left="630"/>
      </w:pPr>
      <w:r>
        <w:rPr>
          <w:rFonts w:eastAsia="georgia" w:cs="georgia" w:ascii="georgia" w:hAnsi="georgia"/>
          <w:color w:val="000000"/>
        </w:rPr>
        <w:t xml:space="preserve">SEAL demonstrates a verified runtime privacy architecture (PET + PC) that Pareto-dominates existing defenses on leakage vs utility; the novelty is the explicit separation of evidence generation from policy decision and the synthetic pipeline solving provenance labeling. Our clinical novelty is to fuse SEAL’s runtime guarantees with SpeechRAG’s audio-native retrieval and clinical ontologies.</w:t>
      </w:r>
      <w:bookmarkStart w:id="34" w:name="fnref4_1"/>
      <w:bookmarkEnd w:id="34"/>
      <w:hyperlink w:anchor="fn4">
        <w:r>
          <w:rPr>
            <w:rFonts w:eastAsia="helvetica neue" w:cs="helvetica neue" w:ascii="helvetica neue" w:hAnsi="helvetica neue"/>
            <w:color w:val="#000"/>
            <w:u w:val="single"/>
            <w:vertAlign w:val="superscript"/>
          </w:rPr>
          <w:t xml:space="preserve">[4]</w:t>
        </w:r>
      </w:hyperlink>
      <w:bookmarkStart w:id="35" w:name="fnref3_2"/>
      <w:bookmarkEnd w:id="35"/>
      <w:hyperlink w:anchor="fn3">
        <w:r>
          <w:rPr>
            <w:rFonts w:eastAsia="helvetica neue" w:cs="helvetica neue" w:ascii="helvetica neue" w:hAnsi="helvetica neue"/>
            <w:color w:val="#000"/>
            <w:u w:val="single"/>
            <w:vertAlign w:val="superscript"/>
          </w:rPr>
          <w:t xml:space="preserve">[3]</w:t>
        </w:r>
      </w:hyperlink>
      <w:bookmarkStart w:id="36" w:name="fnref2_42"/>
      <w:bookmarkEnd w:id="36"/>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If you want, I can now:</w:t>
      </w:r>
    </w:p>
    <w:p>
      <w:pPr>
        <w:numPr>
          <w:ilvl w:val="0"/>
          <w:numId w:val="2"/>
        </w:numPr>
        <w:spacing w:line="360" w:before="105" w:after="105" w:lineRule="auto"/>
      </w:pPr>
      <w:r>
        <w:rPr>
          <w:rFonts w:eastAsia="georgia" w:cs="georgia" w:ascii="georgia" w:hAnsi="georgia"/>
          <w:color w:val="000000"/>
          <w:sz w:val="21"/>
        </w:rPr>
        <w:t xml:space="preserve">convert this into a downloadable markdown/Word file, or</w:t>
      </w:r>
    </w:p>
    <w:p>
      <w:pPr>
        <w:numPr>
          <w:ilvl w:val="0"/>
          <w:numId w:val="2"/>
        </w:numPr>
        <w:spacing w:line="360" w:before="105" w:after="105" w:lineRule="auto"/>
      </w:pPr>
      <w:r>
        <w:rPr>
          <w:rFonts w:eastAsia="georgia" w:cs="georgia" w:ascii="georgia" w:hAnsi="georgia"/>
          <w:color w:val="000000"/>
          <w:sz w:val="21"/>
        </w:rPr>
        <w:t xml:space="preserve">produce an appended checklist of required engineering changes to adapt SEAL to SpeechRAG clinical use (detailed mapping: audio-PET schema, ontology linking, multi-turn linkability, thresholds tuning, dataset needs).</w:t>
      </w:r>
    </w:p>
    <w:p>
      <w:pPr>
        <w:spacing w:line="360" w:after="210" w:lineRule="auto"/>
      </w:pPr>
      <w:r>
        <w:rPr>
          <w:rFonts w:eastAsia="georgia" w:cs="georgia" w:ascii="georgia" w:hAnsi="georgia"/>
          <w:color w:val="000000"/>
        </w:rPr>
        <w:t xml:space="preserve">Which next step do you want?</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7" w:name="fn1"/>
    <w:bookmarkEnd w:id="37"/>
    <w:p>
      <w:pPr>
        <w:numPr>
          <w:ilvl w:val="0"/>
          <w:numId w:val="4"/>
        </w:numPr>
        <w:spacing w:line="360" w:after="210" w:lineRule="auto"/>
      </w:pPr>
      <w:r>
        <w:rPr>
          <w:rFonts w:eastAsia="georgia" w:cs="georgia" w:ascii="georgia" w:hAnsi="georgia"/>
          <w:color w:val="000000"/>
          <w:sz w:val="18"/>
        </w:rPr>
        <w:t xml:space="preserve">SEAL.docx </w:t>
      </w:r>
    </w:p>
    <w:bookmarkStart w:id="38" w:name="fn2"/>
    <w:bookmarkEnd w:id="38"/>
    <w:p>
      <w:pPr>
        <w:numPr>
          <w:ilvl w:val="0"/>
          <w:numId w:val="4"/>
        </w:numPr>
        <w:spacing w:line="360" w:after="210" w:lineRule="auto"/>
      </w:pPr>
      <w:r>
        <w:rPr>
          <w:rFonts w:eastAsia="georgia" w:cs="georgia" w:ascii="georgia" w:hAnsi="georgia"/>
          <w:color w:val="000000"/>
          <w:sz w:val="18"/>
        </w:rPr>
        <w:t xml:space="preserve">SEAL.pdf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9" w:name="fn3"/>
    <w:bookmarkEnd w:id="39"/>
    <w:p>
      <w:pPr>
        <w:numPr>
          <w:ilvl w:val="0"/>
          <w:numId w:val="4"/>
        </w:numPr>
        <w:spacing w:line="360" w:after="210" w:lineRule="auto"/>
      </w:pPr>
      <w:r>
        <w:rPr>
          <w:rFonts w:eastAsia="georgia" w:cs="georgia" w:ascii="georgia" w:hAnsi="georgia"/>
          <w:color w:val="000000"/>
          <w:sz w:val="18"/>
        </w:rPr>
        <w:t xml:space="preserve">SpeechRAG.pdf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 w:name="fn4"/>
    <w:bookmarkEnd w:id="40"/>
    <w:p>
      <w:pPr>
        <w:numPr>
          <w:ilvl w:val="0"/>
          <w:numId w:val="4"/>
        </w:numPr>
        <w:spacing w:line="360" w:after="210" w:lineRule="auto"/>
      </w:pPr>
      <w:r>
        <w:rPr>
          <w:rFonts w:eastAsia="georgia" w:cs="georgia" w:ascii="georgia" w:hAnsi="georgia"/>
          <w:color w:val="000000"/>
          <w:sz w:val="18"/>
        </w:rPr>
        <w:t xml:space="preserve">ClinicalBERT.pdf </w:t>
      </w:r>
      <w:r>
        <w:rPr>
          <w:rFonts w:eastAsia="georgia" w:cs="georgia" w:ascii="georgia" w:hAnsi="georgia"/>
          <w:color w:val="000000"/>
          <w:sz w:val="18"/>
        </w:rPr>
        <w:t xml:space="preserve"> </w:t>
      </w:r>
    </w:p>
    <w:bookmarkStart w:id="41" w:name="fn5"/>
    <w:bookmarkEnd w:id="41"/>
    <w:p>
      <w:pPr>
        <w:numPr>
          <w:ilvl w:val="0"/>
          <w:numId w:val="4"/>
        </w:numPr>
        <w:spacing w:line="360" w:after="210" w:lineRule="auto"/>
      </w:pPr>
      <w:hyperlink r:id="rId6">
        <w:r>
          <w:rPr>
            <w:rFonts w:eastAsia="helvetica neue" w:cs="helvetica neue" w:ascii="helvetica neue" w:hAnsi="helvetica neue"/>
            <w:color w:val="#000"/>
            <w:sz w:val="18"/>
            <w:u w:val="single"/>
          </w:rPr>
          <w:t xml:space="preserve">https://www.youtube.com/watch?v=x_dCAIxoycs</w:t>
        </w:r>
      </w:hyperlink>
      <w:r>
        <w:rPr>
          <w:rFonts w:eastAsia="georgia" w:cs="georgia" w:ascii="georgia" w:hAnsi="georgia"/>
          <w:color w:val="000000"/>
          <w:sz w:val="18"/>
        </w:rPr>
        <w:t xml:space="preserve"> </w:t>
      </w:r>
    </w:p>
    <w:bookmarkStart w:id="42" w:name="fn6"/>
    <w:bookmarkEnd w:id="42"/>
    <w:p>
      <w:pPr>
        <w:numPr>
          <w:ilvl w:val="0"/>
          <w:numId w:val="4"/>
        </w:numPr>
        <w:spacing w:line="360" w:after="210" w:lineRule="auto"/>
      </w:pPr>
      <w:hyperlink r:id="rId7">
        <w:r>
          <w:rPr>
            <w:rFonts w:eastAsia="helvetica neue" w:cs="helvetica neue" w:ascii="helvetica neue" w:hAnsi="helvetica neue"/>
            <w:color w:val="#000"/>
            <w:sz w:val="18"/>
            <w:u w:val="single"/>
          </w:rPr>
          <w:t xml:space="preserve">https://community.dynamics.com/forums/thread/details/?threadid=43be777d-c1ca-ef11-b8e8-7c1e520a26a0</w:t>
        </w:r>
      </w:hyperlink>
      <w:r>
        <w:rPr>
          <w:rFonts w:eastAsia="georgia" w:cs="georgia" w:ascii="georgia" w:hAnsi="georgia"/>
          <w:color w:val="000000"/>
          <w:sz w:val="18"/>
        </w:rPr>
        <w:t xml:space="preserve"> </w:t>
      </w:r>
    </w:p>
    <w:bookmarkStart w:id="43" w:name="fn7"/>
    <w:bookmarkEnd w:id="43"/>
    <w:p>
      <w:pPr>
        <w:numPr>
          <w:ilvl w:val="0"/>
          <w:numId w:val="4"/>
        </w:numPr>
        <w:spacing w:line="360" w:after="210" w:lineRule="auto"/>
      </w:pPr>
      <w:hyperlink r:id="rId8">
        <w:r>
          <w:rPr>
            <w:rFonts w:eastAsia="helvetica neue" w:cs="helvetica neue" w:ascii="helvetica neue" w:hAnsi="helvetica neue"/>
            <w:color w:val="#000"/>
            <w:sz w:val="18"/>
            <w:u w:val="single"/>
          </w:rPr>
          <w:t xml:space="preserve">https://navisionfunctionalexpert.com/short-blog/f/output-journal-in-navision</w:t>
        </w:r>
      </w:hyperlink>
      <w:r>
        <w:rPr>
          <w:rFonts w:eastAsia="georgia" w:cs="georgia" w:ascii="georgia" w:hAnsi="georgia"/>
          <w:color w:val="000000"/>
          <w:sz w:val="18"/>
        </w:rPr>
        <w:t xml:space="preserve"> </w:t>
      </w:r>
    </w:p>
    <w:bookmarkStart w:id="44" w:name="fn8"/>
    <w:bookmarkEnd w:id="44"/>
    <w:p>
      <w:pPr>
        <w:numPr>
          <w:ilvl w:val="0"/>
          <w:numId w:val="4"/>
        </w:numPr>
        <w:spacing w:line="360" w:after="210" w:lineRule="auto"/>
      </w:pPr>
      <w:hyperlink r:id="rId9">
        <w:r>
          <w:rPr>
            <w:rFonts w:eastAsia="helvetica neue" w:cs="helvetica neue" w:ascii="helvetica neue" w:hAnsi="helvetica neue"/>
            <w:color w:val="#000"/>
            <w:sz w:val="18"/>
            <w:u w:val="single"/>
          </w:rPr>
          <w:t xml:space="preserve">https://www.youtube.com/watch?v=ZOApexpk9_g</w:t>
        </w:r>
      </w:hyperlink>
      <w:r>
        <w:rPr>
          <w:rFonts w:eastAsia="georgia" w:cs="georgia" w:ascii="georgia" w:hAnsi="georgia"/>
          <w:color w:val="000000"/>
          <w:sz w:val="18"/>
        </w:rPr>
        <w:t xml:space="preserve"> </w:t>
      </w:r>
    </w:p>
    <w:bookmarkStart w:id="45" w:name="fn9"/>
    <w:bookmarkEnd w:id="45"/>
    <w:p>
      <w:pPr>
        <w:numPr>
          <w:ilvl w:val="0"/>
          <w:numId w:val="4"/>
        </w:numPr>
        <w:spacing w:line="360" w:after="210" w:lineRule="auto"/>
      </w:pPr>
      <w:hyperlink r:id="rId10">
        <w:r>
          <w:rPr>
            <w:rFonts w:eastAsia="helvetica neue" w:cs="helvetica neue" w:ascii="helvetica neue" w:hAnsi="helvetica neue"/>
            <w:color w:val="#000"/>
            <w:sz w:val="18"/>
            <w:u w:val="single"/>
          </w:rPr>
          <w:t xml:space="preserve">https://www.olofsimren.com/posting-of-actual-and-expected-production-time/</w:t>
        </w:r>
      </w:hyperlink>
      <w:r>
        <w:rPr>
          <w:rFonts w:eastAsia="georgia" w:cs="georgia" w:ascii="georgia" w:hAnsi="georgia"/>
          <w:color w:val="000000"/>
          <w:sz w:val="18"/>
        </w:rPr>
        <w:t xml:space="preserve"> </w:t>
      </w:r>
    </w:p>
    <w:bookmarkStart w:id="46" w:name="fn10"/>
    <w:bookmarkEnd w:id="46"/>
    <w:p>
      <w:pPr>
        <w:numPr>
          <w:ilvl w:val="0"/>
          <w:numId w:val="4"/>
        </w:numPr>
        <w:spacing w:line="360" w:after="210" w:lineRule="auto"/>
      </w:pPr>
      <w:hyperlink r:id="rId11">
        <w:r>
          <w:rPr>
            <w:rFonts w:eastAsia="helvetica neue" w:cs="helvetica neue" w:ascii="helvetica neue" w:hAnsi="helvetica neue"/>
            <w:color w:val="#000"/>
            <w:sz w:val="18"/>
            <w:u w:val="single"/>
          </w:rPr>
          <w:t xml:space="preserve">https://learn.microsoft.com/en-us/dynamics365/business-central/production-how-to-register-consumption-and-output</w:t>
        </w:r>
      </w:hyperlink>
      <w:r>
        <w:rPr>
          <w:rFonts w:eastAsia="georgia" w:cs="georgia" w:ascii="georgia" w:hAnsi="georgia"/>
          <w:color w:val="000000"/>
          <w:sz w:val="18"/>
        </w:rPr>
        <w:t xml:space="preserve"> </w:t>
      </w:r>
    </w:p>
    <w:bookmarkStart w:id="47" w:name="fn11"/>
    <w:bookmarkEnd w:id="47"/>
    <w:p>
      <w:pPr>
        <w:numPr>
          <w:ilvl w:val="0"/>
          <w:numId w:val="4"/>
        </w:numPr>
        <w:spacing w:line="360" w:after="210" w:lineRule="auto"/>
      </w:pPr>
      <w:hyperlink r:id="rId12">
        <w:r>
          <w:rPr>
            <w:rFonts w:eastAsia="helvetica neue" w:cs="helvetica neue" w:ascii="helvetica neue" w:hAnsi="helvetica neue"/>
            <w:color w:val="#000"/>
            <w:sz w:val="18"/>
            <w:u w:val="single"/>
          </w:rPr>
          <w:t xml:space="preserve">https://www.innovia.com/blog/how-to-record-output-and-consumption-in-business-central</w:t>
        </w:r>
      </w:hyperlink>
      <w:r>
        <w:rPr>
          <w:rFonts w:eastAsia="georgia" w:cs="georgia" w:ascii="georgia" w:hAnsi="georgia"/>
          <w:color w:val="000000"/>
          <w:sz w:val="18"/>
        </w:rPr>
        <w:t xml:space="preserve"> </w:t>
      </w:r>
    </w:p>
    <w:bookmarkStart w:id="48" w:name="fn12"/>
    <w:bookmarkEnd w:id="48"/>
    <w:p>
      <w:pPr>
        <w:numPr>
          <w:ilvl w:val="0"/>
          <w:numId w:val="4"/>
        </w:numPr>
        <w:spacing w:line="360" w:after="210" w:lineRule="auto"/>
      </w:pPr>
      <w:hyperlink r:id="rId13">
        <w:r>
          <w:rPr>
            <w:rFonts w:eastAsia="helvetica neue" w:cs="helvetica neue" w:ascii="helvetica neue" w:hAnsi="helvetica neue"/>
            <w:color w:val="#000"/>
            <w:sz w:val="18"/>
            <w:u w:val="single"/>
          </w:rPr>
          <w:t xml:space="preserve">https://help.lscentral150.lsretail.com/Content/Dynamics NAV/production-how-to-register-consumption-and-output.html</w:t>
        </w:r>
      </w:hyperlink>
      <w:r>
        <w:rPr>
          <w:rFonts w:eastAsia="georgia" w:cs="georgia" w:ascii="georgia" w:hAnsi="georgia"/>
          <w:color w:val="000000"/>
          <w:sz w:val="18"/>
        </w:rPr>
        <w:t xml:space="preserve"> </w:t>
      </w:r>
    </w:p>
    <w:bookmarkStart w:id="49" w:name="fn13"/>
    <w:bookmarkEnd w:id="49"/>
    <w:p>
      <w:pPr>
        <w:numPr>
          <w:ilvl w:val="0"/>
          <w:numId w:val="4"/>
        </w:numPr>
        <w:spacing w:line="360" w:after="210" w:lineRule="auto"/>
      </w:pPr>
      <w:hyperlink r:id="rId14">
        <w:r>
          <w:rPr>
            <w:rFonts w:eastAsia="helvetica neue" w:cs="helvetica neue" w:ascii="helvetica neue" w:hAnsi="helvetica neue"/>
            <w:color w:val="#000"/>
            <w:sz w:val="18"/>
            <w:u w:val="single"/>
          </w:rPr>
          <w:t xml:space="preserve">https://www.dynamicsuser.net/t/production-order-for-backward-flushing/75470</w:t>
        </w:r>
      </w:hyperlink>
      <w:r>
        <w:rPr>
          <w:rFonts w:eastAsia="georgia" w:cs="georgia" w:ascii="georgia" w:hAnsi="georgia"/>
          <w:color w:val="000000"/>
          <w:sz w:val="18"/>
        </w:rPr>
        <w:t xml:space="preserve"> </w:t>
      </w:r>
    </w:p>
    <w:bookmarkStart w:id="50" w:name="fn14"/>
    <w:bookmarkEnd w:id="50"/>
    <w:p>
      <w:pPr>
        <w:numPr>
          <w:ilvl w:val="0"/>
          <w:numId w:val="4"/>
        </w:numPr>
        <w:spacing w:line="360" w:after="210" w:lineRule="auto"/>
      </w:pPr>
      <w:hyperlink r:id="rId15">
        <w:r>
          <w:rPr>
            <w:rFonts w:eastAsia="helvetica neue" w:cs="helvetica neue" w:ascii="helvetica neue" w:hAnsi="helvetica neue"/>
            <w:color w:val="#000"/>
            <w:sz w:val="18"/>
            <w:u w:val="single"/>
          </w:rPr>
          <w:t xml:space="preserve">https://www.facebook.com/groups/MSDNAV/posts/8989496787808135/</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3e0a55aff2ced783c549b40197130fb6c9330c7.png" TargetMode="Internal"/><Relationship Id="rId6" Type="http://schemas.openxmlformats.org/officeDocument/2006/relationships/hyperlink" Target="https://www.youtube.com/watch?v=x_dCAIxoycs" TargetMode="External"/><Relationship Id="rId7" Type="http://schemas.openxmlformats.org/officeDocument/2006/relationships/hyperlink" Target="https://community.dynamics.com/forums/thread/details/?threadid=43be777d-c1ca-ef11-b8e8-7c1e520a26a0" TargetMode="External"/><Relationship Id="rId8" Type="http://schemas.openxmlformats.org/officeDocument/2006/relationships/hyperlink" Target="https://navisionfunctionalexpert.com/short-blog/f/output-journal-in-navision" TargetMode="External"/><Relationship Id="rId9" Type="http://schemas.openxmlformats.org/officeDocument/2006/relationships/hyperlink" Target="https://www.youtube.com/watch?v=ZOApexpk9_g" TargetMode="External"/><Relationship Id="rId10" Type="http://schemas.openxmlformats.org/officeDocument/2006/relationships/hyperlink" Target="https://www.olofsimren.com/posting-of-actual-and-expected-production-time/" TargetMode="External"/><Relationship Id="rId11" Type="http://schemas.openxmlformats.org/officeDocument/2006/relationships/hyperlink" Target="https://learn.microsoft.com/en-us/dynamics365/business-central/production-how-to-register-consumption-and-output" TargetMode="External"/><Relationship Id="rId12" Type="http://schemas.openxmlformats.org/officeDocument/2006/relationships/hyperlink" Target="https://www.innovia.com/blog/how-to-record-output-and-consumption-in-business-central" TargetMode="External"/><Relationship Id="rId13" Type="http://schemas.openxmlformats.org/officeDocument/2006/relationships/hyperlink" Target="https://help.lscentral150.lsretail.com/Content/Dynamics%20NAV/production-how-to-register-consumption-and-output.html" TargetMode="External"/><Relationship Id="rId14" Type="http://schemas.openxmlformats.org/officeDocument/2006/relationships/hyperlink" Target="https://www.dynamicsuser.net/t/production-order-for-backward-flushing/75470" TargetMode="External"/><Relationship Id="rId15" Type="http://schemas.openxmlformats.org/officeDocument/2006/relationships/hyperlink" Target="https://www.facebook.com/groups/MSDNAV/posts/898949678780813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2026-05-23T14:15:19.546Z</dcterms:created>
  <dcterms:modified xsi:type="dcterms:W3CDTF">2026-05-23T14:15:19.546Z</dcterms:modified>
</cp:coreProperties>
</file>