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1B365D"/>
          <w:sz w:val="48"/>
        </w:rPr>
        <w:t>APMC Mandi Market Intelligence System</w:t>
      </w:r>
    </w:p>
    <w:p>
      <w:pPr>
        <w:spacing w:before="0" w:after="240"/>
      </w:pPr>
      <w:r>
        <w:rPr>
          <w:i/>
          <w:color w:val="4A5568"/>
          <w:sz w:val="27"/>
        </w:rPr>
        <w:t>District-Level Agricultural Market Condition Classification — Final Project Report</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E2E8F0"/>
            <w:tcMar>
              <w:top w:w="80" w:type="dxa"/>
              <w:bottom w:w="80" w:type="dxa"/>
              <w:left w:w="100" w:type="dxa"/>
              <w:right w:w="100" w:type="dxa"/>
            </w:tcMar>
          </w:tcPr>
          <w:p>
            <w:r>
              <w:rPr>
                <w:b/>
                <w:color w:val="1A202C"/>
                <w:sz w:val="19"/>
              </w:rPr>
              <w:t>Target: T+7 Market State</w:t>
            </w:r>
          </w:p>
        </w:tc>
        <w:tc>
          <w:tcPr>
            <w:tcW w:type="dxa" w:w="3312"/>
            <w:shd w:fill="E2E8F0"/>
            <w:tcMar>
              <w:top w:w="80" w:type="dxa"/>
              <w:bottom w:w="80" w:type="dxa"/>
              <w:left w:w="100" w:type="dxa"/>
              <w:right w:w="100" w:type="dxa"/>
            </w:tcMar>
          </w:tcPr>
          <w:p>
            <w:r>
              <w:rPr>
                <w:b/>
                <w:color w:val="1A202C"/>
                <w:sz w:val="19"/>
              </w:rPr>
              <w:t>Coverage: 5 Districts (UP)</w:t>
            </w:r>
          </w:p>
        </w:tc>
        <w:tc>
          <w:tcPr>
            <w:tcW w:type="dxa" w:w="3024"/>
            <w:shd w:fill="E2E8F0"/>
            <w:tcMar>
              <w:top w:w="80" w:type="dxa"/>
              <w:bottom w:w="80" w:type="dxa"/>
              <w:left w:w="100" w:type="dxa"/>
              <w:right w:w="100" w:type="dxa"/>
            </w:tcMar>
          </w:tcPr>
          <w:p>
            <w:r>
              <w:rPr>
                <w:b/>
                <w:color w:val="1A202C"/>
                <w:sz w:val="19"/>
              </w:rPr>
              <w:t>Validation: Strict Chronological</w:t>
            </w:r>
          </w:p>
        </w:tc>
      </w:tr>
    </w:tbl>
    <w:p/>
    <w:p>
      <w:pPr>
        <w:keepNext/>
        <w:spacing w:before="320" w:after="120"/>
      </w:pPr>
      <w:r>
        <w:rPr>
          <w:b/>
          <w:color w:val="1B365D"/>
          <w:sz w:val="32"/>
        </w:rPr>
        <w:t>1. The Core Idea: What is this project about?</w:t>
      </w:r>
    </w:p>
    <w:p>
      <w:r>
        <w:t>Every single morning, hundreds of thousands of farmers across India harvest their produce, load their crops onto trucks and tractors, and travel to government wholesale agricultural markets (known as APMC Mandis). When they arrive at the mandi gate, they face complete uncertainty: Will they receive a fair price today, or will a sudden glut crash prices and force them to sell at a painful loss?</w:t>
      </w:r>
    </w:p>
    <w:p>
      <w:r>
        <w:t>The core idea of this project is to build an intelligent, district-level Market Intelligence System. Instead of leaving farmers and local traders in the dark, our system acts like a trusted weather forecast—but for crop prices! It analyzes historical prices, weekly trends, intraday fluctuations, and price movements across neighboring districts to answer one critical question: 'In 7 days, will market conditions be Good, Steady, or Bad for selling?'</w:t>
      </w:r>
    </w:p>
    <w:p>
      <w:pPr>
        <w:keepNext/>
        <w:spacing w:before="320" w:after="120"/>
      </w:pPr>
      <w:r>
        <w:rPr>
          <w:b/>
          <w:color w:val="1B365D"/>
          <w:sz w:val="32"/>
        </w:rPr>
        <w:t>2. The Real-World Problem: Why Predicting Exact Prices Fails</w:t>
      </w:r>
    </w:p>
    <w:p>
      <w:r>
        <w:t>When data scientists first tackle agricultural forecasting, they usually attempt 'regression'—trying to predict an exact number (for example: 'On next Tuesday, Wheat will sell for exactly Rs. 2,431.50 per quintal'). In practice, this approach fails dramatically.</w:t>
      </w:r>
    </w:p>
    <w:p>
      <w:r>
        <w:t>Why does exact price regression fail in real-world mandis?</w:t>
        <w:br/>
        <w:t>1. Extreme Noise and Local Shocks: A sudden rainstorm, a festival holiday, or a delayed fleet of trucks can swing prices by 10% in a single morning. A model trying to guess exact decimals produces massive errors and loses all credibility with users.</w:t>
        <w:br/>
        <w:t>2. Farmers Need Direction, Not Decimals: If a farmer is deciding whether to harvest Wheat today or wait one week, they don't need to know if the price will be Rs. 2,431 vs Rs. 2,438. They need to know: 'Is the market going up significantly, staying flat, or about to collapse?'</w:t>
        <w:br/>
        <w:t>3. Missing and Dirty Arrival Volumes: Historical mandi records rarely record trustworthy arrival tonnages (Section 2 of Project Overview). Without daily supply tonnages, exact price calculations become unstable.</w:t>
      </w:r>
    </w:p>
    <w:tbl>
      <w:tblPr>
        <w:tblW w:type="auto" w:w="0"/>
        <w:jc w:val="center"/>
        <w:tblLook w:firstColumn="1" w:firstRow="1" w:lastColumn="0" w:lastRow="0" w:noHBand="0" w:noVBand="1" w:val="04A0"/>
      </w:tblPr>
      <w:tblGrid>
        <w:gridCol w:w="9360"/>
      </w:tblGrid>
      <w:tr>
        <w:tc>
          <w:tcPr>
            <w:tcW w:type="dxa" w:w="9360"/>
            <w:shd w:fill="EDF2F7"/>
            <w:tcMar>
              <w:top w:w="100" w:type="dxa"/>
              <w:bottom w:w="100" w:type="dxa"/>
              <w:left w:w="140" w:type="dxa"/>
              <w:right w:w="140" w:type="dxa"/>
            </w:tcMar>
          </w:tcPr>
          <w:p>
            <w:pPr>
              <w:spacing w:after="0"/>
            </w:pPr>
            <w:r>
              <w:rPr>
                <w:i/>
                <w:color w:val="2D3748"/>
                <w:sz w:val="20"/>
              </w:rPr>
              <w:t>Core Project Decision (per District_Level_Project_Overview.pdf):</w:t>
              <w:br/>
              <w:t>We officially removed point regression from this project. Instead, we redesigned the system as a robust Classification ML project that predicts the 7-day Future Market Condition. This delivers reliable, actionable guidance that farmers and mandi administrators can actually use.</w:t>
            </w:r>
          </w:p>
        </w:tc>
      </w:tr>
    </w:tbl>
    <w:p/>
    <w:p>
      <w:pPr>
        <w:keepNext/>
        <w:spacing w:before="320" w:after="120"/>
      </w:pPr>
      <w:r>
        <w:rPr>
          <w:b/>
          <w:color w:val="1B365D"/>
          <w:sz w:val="32"/>
        </w:rPr>
        <w:t>3. The Solution: 3-State Market Condition Classification</w:t>
      </w:r>
    </w:p>
    <w:p>
      <w:r>
        <w:t>Our solution categorizes the future market condition into three simple, intuitive states based on the expected price movement over the next 7 calendar days:</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20" w:type="dxa"/>
              <w:right w:w="120" w:type="dxa"/>
            </w:tcMar>
          </w:tcPr>
          <w:p>
            <w:pPr>
              <w:spacing w:after="0"/>
            </w:pPr>
            <w:r>
              <w:rPr>
                <w:rFonts w:ascii="Calibri" w:hAnsi="Calibri"/>
                <w:b/>
                <w:color w:val="FFFFFF"/>
                <w:sz w:val="19"/>
              </w:rPr>
              <w:t>Market Condition</w:t>
            </w:r>
          </w:p>
        </w:tc>
        <w:tc>
          <w:tcPr>
            <w:tcW w:type="dxa" w:w="2160"/>
            <w:shd w:fill="1B365D"/>
            <w:tcMar>
              <w:top w:w="100" w:type="dxa"/>
              <w:bottom w:w="100" w:type="dxa"/>
              <w:left w:w="120" w:type="dxa"/>
              <w:right w:w="120" w:type="dxa"/>
            </w:tcMar>
          </w:tcPr>
          <w:p>
            <w:pPr>
              <w:spacing w:after="0"/>
            </w:pPr>
            <w:r>
              <w:rPr>
                <w:rFonts w:ascii="Calibri" w:hAnsi="Calibri"/>
                <w:b/>
                <w:color w:val="FFFFFF"/>
                <w:sz w:val="19"/>
              </w:rPr>
              <w:t>Price Threshold (T+7)</w:t>
            </w:r>
          </w:p>
        </w:tc>
        <w:tc>
          <w:tcPr>
            <w:tcW w:type="dxa" w:w="3168"/>
            <w:shd w:fill="1B365D"/>
            <w:tcMar>
              <w:top w:w="100" w:type="dxa"/>
              <w:bottom w:w="100" w:type="dxa"/>
              <w:left w:w="120" w:type="dxa"/>
              <w:right w:w="120" w:type="dxa"/>
            </w:tcMar>
          </w:tcPr>
          <w:p>
            <w:pPr>
              <w:spacing w:after="0"/>
            </w:pPr>
            <w:r>
              <w:rPr>
                <w:rFonts w:ascii="Calibri" w:hAnsi="Calibri"/>
                <w:b/>
                <w:color w:val="FFFFFF"/>
                <w:sz w:val="19"/>
              </w:rPr>
              <w:t>What It Means in Simple English</w:t>
            </w:r>
          </w:p>
        </w:tc>
        <w:tc>
          <w:tcPr>
            <w:tcW w:type="dxa" w:w="1872"/>
            <w:shd w:fill="1B365D"/>
            <w:tcMar>
              <w:top w:w="100" w:type="dxa"/>
              <w:bottom w:w="100" w:type="dxa"/>
              <w:left w:w="120" w:type="dxa"/>
              <w:right w:w="120" w:type="dxa"/>
            </w:tcMar>
          </w:tcPr>
          <w:p>
            <w:pPr>
              <w:spacing w:after="0"/>
            </w:pPr>
            <w:r>
              <w:rPr>
                <w:rFonts w:ascii="Calibri" w:hAnsi="Calibri"/>
                <w:b/>
                <w:color w:val="FFFFFF"/>
                <w:sz w:val="19"/>
              </w:rPr>
              <w:t>Actionable Guidance</w:t>
            </w:r>
          </w:p>
        </w:tc>
      </w:tr>
      <w:tr>
        <w:tc>
          <w:tcPr>
            <w:tcW w:type="dxa" w:w="2160"/>
            <w:shd w:fill="FFFFFF"/>
            <w:tcMar>
              <w:top w:w="80" w:type="dxa"/>
              <w:bottom w:w="80" w:type="dxa"/>
              <w:left w:w="120" w:type="dxa"/>
              <w:right w:w="120" w:type="dxa"/>
            </w:tcMar>
          </w:tcPr>
          <w:p>
            <w:pPr>
              <w:spacing w:after="0"/>
            </w:pPr>
            <w:r>
              <w:rPr>
                <w:rFonts w:ascii="Calibri" w:hAnsi="Calibri"/>
                <w:sz w:val="18"/>
              </w:rPr>
              <w:t>Favorable (Bullish)</w:t>
            </w:r>
          </w:p>
        </w:tc>
        <w:tc>
          <w:tcPr>
            <w:tcW w:type="dxa" w:w="2160"/>
            <w:shd w:fill="FFFFFF"/>
            <w:tcMar>
              <w:top w:w="80" w:type="dxa"/>
              <w:bottom w:w="80" w:type="dxa"/>
              <w:left w:w="120" w:type="dxa"/>
              <w:right w:w="120" w:type="dxa"/>
            </w:tcMar>
          </w:tcPr>
          <w:p>
            <w:pPr>
              <w:spacing w:after="0"/>
            </w:pPr>
            <w:r>
              <w:rPr>
                <w:rFonts w:ascii="Calibri" w:hAnsi="Calibri"/>
                <w:sz w:val="18"/>
              </w:rPr>
              <w:t>Price rises by &gt;= +2.5%</w:t>
            </w:r>
          </w:p>
        </w:tc>
        <w:tc>
          <w:tcPr>
            <w:tcW w:type="dxa" w:w="3168"/>
            <w:shd w:fill="FFFFFF"/>
            <w:tcMar>
              <w:top w:w="80" w:type="dxa"/>
              <w:bottom w:w="80" w:type="dxa"/>
              <w:left w:w="120" w:type="dxa"/>
              <w:right w:w="120" w:type="dxa"/>
            </w:tcMar>
          </w:tcPr>
          <w:p>
            <w:pPr>
              <w:spacing w:after="0"/>
            </w:pPr>
            <w:r>
              <w:rPr>
                <w:rFonts w:ascii="Calibri" w:hAnsi="Calibri"/>
                <w:sz w:val="18"/>
              </w:rPr>
              <w:t>Prices are trending up. Market demand is strong and sellers are getting higher returns.</w:t>
            </w:r>
          </w:p>
        </w:tc>
        <w:tc>
          <w:tcPr>
            <w:tcW w:type="dxa" w:w="1872"/>
            <w:shd w:fill="FFFFFF"/>
            <w:tcMar>
              <w:top w:w="80" w:type="dxa"/>
              <w:bottom w:w="80" w:type="dxa"/>
              <w:left w:w="120" w:type="dxa"/>
              <w:right w:w="120" w:type="dxa"/>
            </w:tcMar>
          </w:tcPr>
          <w:p>
            <w:pPr>
              <w:spacing w:after="0"/>
            </w:pPr>
            <w:r>
              <w:rPr>
                <w:rFonts w:ascii="Calibri" w:hAnsi="Calibri"/>
                <w:sz w:val="18"/>
              </w:rPr>
              <w:t>Good time to hold harvest or bring produce to market to capitalize on higher rates.</w:t>
            </w:r>
          </w:p>
        </w:tc>
      </w:tr>
      <w:tr>
        <w:tc>
          <w:tcPr>
            <w:tcW w:type="dxa" w:w="2160"/>
            <w:shd w:fill="F7FAFC"/>
            <w:tcMar>
              <w:top w:w="80" w:type="dxa"/>
              <w:bottom w:w="80" w:type="dxa"/>
              <w:left w:w="120" w:type="dxa"/>
              <w:right w:w="120" w:type="dxa"/>
            </w:tcMar>
          </w:tcPr>
          <w:p>
            <w:pPr>
              <w:spacing w:after="0"/>
            </w:pPr>
            <w:r>
              <w:rPr>
                <w:rFonts w:ascii="Calibri" w:hAnsi="Calibri"/>
                <w:sz w:val="18"/>
              </w:rPr>
              <w:t>Normal (Stable)</w:t>
            </w:r>
          </w:p>
        </w:tc>
        <w:tc>
          <w:tcPr>
            <w:tcW w:type="dxa" w:w="2160"/>
            <w:shd w:fill="F7FAFC"/>
            <w:tcMar>
              <w:top w:w="80" w:type="dxa"/>
              <w:bottom w:w="80" w:type="dxa"/>
              <w:left w:w="120" w:type="dxa"/>
              <w:right w:w="120" w:type="dxa"/>
            </w:tcMar>
          </w:tcPr>
          <w:p>
            <w:pPr>
              <w:spacing w:after="0"/>
            </w:pPr>
            <w:r>
              <w:rPr>
                <w:rFonts w:ascii="Calibri" w:hAnsi="Calibri"/>
                <w:sz w:val="18"/>
              </w:rPr>
              <w:t>Price stays within -2.5% to +2.5%</w:t>
            </w:r>
          </w:p>
        </w:tc>
        <w:tc>
          <w:tcPr>
            <w:tcW w:type="dxa" w:w="3168"/>
            <w:shd w:fill="F7FAFC"/>
            <w:tcMar>
              <w:top w:w="80" w:type="dxa"/>
              <w:bottom w:w="80" w:type="dxa"/>
              <w:left w:w="120" w:type="dxa"/>
              <w:right w:w="120" w:type="dxa"/>
            </w:tcMar>
          </w:tcPr>
          <w:p>
            <w:pPr>
              <w:spacing w:after="0"/>
            </w:pPr>
            <w:r>
              <w:rPr>
                <w:rFonts w:ascii="Calibri" w:hAnsi="Calibri"/>
                <w:sz w:val="18"/>
              </w:rPr>
              <w:t>Market is steady and balanced. Typical routine fluctuations without major disruptions.</w:t>
            </w:r>
          </w:p>
        </w:tc>
        <w:tc>
          <w:tcPr>
            <w:tcW w:type="dxa" w:w="1872"/>
            <w:shd w:fill="F7FAFC"/>
            <w:tcMar>
              <w:top w:w="80" w:type="dxa"/>
              <w:bottom w:w="80" w:type="dxa"/>
              <w:left w:w="120" w:type="dxa"/>
              <w:right w:w="120" w:type="dxa"/>
            </w:tcMar>
          </w:tcPr>
          <w:p>
            <w:pPr>
              <w:spacing w:after="0"/>
            </w:pPr>
            <w:r>
              <w:rPr>
                <w:rFonts w:ascii="Calibri" w:hAnsi="Calibri"/>
                <w:sz w:val="18"/>
              </w:rPr>
              <w:t>Safe to sell on regular schedule. No urgency or panic.</w:t>
            </w:r>
          </w:p>
        </w:tc>
      </w:tr>
      <w:tr>
        <w:tc>
          <w:tcPr>
            <w:tcW w:type="dxa" w:w="2160"/>
            <w:shd w:fill="FFFFFF"/>
            <w:tcMar>
              <w:top w:w="80" w:type="dxa"/>
              <w:bottom w:w="80" w:type="dxa"/>
              <w:left w:w="120" w:type="dxa"/>
              <w:right w:w="120" w:type="dxa"/>
            </w:tcMar>
          </w:tcPr>
          <w:p>
            <w:pPr>
              <w:spacing w:after="0"/>
            </w:pPr>
            <w:r>
              <w:rPr>
                <w:rFonts w:ascii="Calibri" w:hAnsi="Calibri"/>
                <w:sz w:val="18"/>
              </w:rPr>
              <w:t>Unfavorable (Bearish)</w:t>
            </w:r>
          </w:p>
        </w:tc>
        <w:tc>
          <w:tcPr>
            <w:tcW w:type="dxa" w:w="2160"/>
            <w:shd w:fill="FFFFFF"/>
            <w:tcMar>
              <w:top w:w="80" w:type="dxa"/>
              <w:bottom w:w="80" w:type="dxa"/>
              <w:left w:w="120" w:type="dxa"/>
              <w:right w:w="120" w:type="dxa"/>
            </w:tcMar>
          </w:tcPr>
          <w:p>
            <w:pPr>
              <w:spacing w:after="0"/>
            </w:pPr>
            <w:r>
              <w:rPr>
                <w:rFonts w:ascii="Calibri" w:hAnsi="Calibri"/>
                <w:sz w:val="18"/>
              </w:rPr>
              <w:t>Price drops by &lt;= -2.5%</w:t>
            </w:r>
          </w:p>
        </w:tc>
        <w:tc>
          <w:tcPr>
            <w:tcW w:type="dxa" w:w="3168"/>
            <w:shd w:fill="FFFFFF"/>
            <w:tcMar>
              <w:top w:w="80" w:type="dxa"/>
              <w:bottom w:w="80" w:type="dxa"/>
              <w:left w:w="120" w:type="dxa"/>
              <w:right w:w="120" w:type="dxa"/>
            </w:tcMar>
          </w:tcPr>
          <w:p>
            <w:pPr>
              <w:spacing w:after="0"/>
            </w:pPr>
            <w:r>
              <w:rPr>
                <w:rFonts w:ascii="Calibri" w:hAnsi="Calibri"/>
                <w:sz w:val="18"/>
              </w:rPr>
              <w:t>Prices are dropping significantly. Local market is experiencing oversupply or weak demand.</w:t>
            </w:r>
          </w:p>
        </w:tc>
        <w:tc>
          <w:tcPr>
            <w:tcW w:type="dxa" w:w="1872"/>
            <w:shd w:fill="FFFFFF"/>
            <w:tcMar>
              <w:top w:w="80" w:type="dxa"/>
              <w:bottom w:w="80" w:type="dxa"/>
              <w:left w:w="120" w:type="dxa"/>
              <w:right w:w="120" w:type="dxa"/>
            </w:tcMar>
          </w:tcPr>
          <w:p>
            <w:pPr>
              <w:spacing w:after="0"/>
            </w:pPr>
            <w:r>
              <w:rPr>
                <w:rFonts w:ascii="Calibri" w:hAnsi="Calibri"/>
                <w:sz w:val="18"/>
              </w:rPr>
              <w:t>Warning to sell immediately before further drops or divert produce to neighboring mandis.</w:t>
            </w:r>
          </w:p>
        </w:tc>
      </w:tr>
    </w:tbl>
    <w:p/>
    <w:p>
      <w:pPr>
        <w:keepNext/>
        <w:spacing w:before="320" w:after="120"/>
      </w:pPr>
      <w:r>
        <w:rPr>
          <w:b/>
          <w:color w:val="1B365D"/>
          <w:sz w:val="32"/>
        </w:rPr>
        <w:t>4. What We Are Predicting and How (In Simple English)</w:t>
      </w:r>
    </w:p>
    <w:p>
      <w:r>
        <w:t>To understand how the system works, let's break down the mechanics step-by-step:</w:t>
      </w:r>
    </w:p>
    <w:p>
      <w:r>
        <w:t>• What is 'T'? Date T represents Today (the day the forecast is made). At time T, we know today's price, yesterday's price, and all historical records up to today.</w:t>
        <w:br/>
        <w:t>• What is 'T+7'? Date T+7 is exactly 7 calendar days into the future. For example, if today (T) is Monday, September 10, then T+7 is next Monday, September 17. (Note: We never take the 'next row' in the table; it must be exactly 7 calendar days later!).</w:t>
        <w:br/>
        <w:t>• How is the target calculated? We look at the actual percentage change from today to next week:</w:t>
        <w:br/>
        <w:t xml:space="preserve">    Percentage Change = ((Price at T+7 - Price at T) / Price at T) * 100</w:t>
        <w:br/>
        <w:t>• If Change &gt;= +2.5%  --&gt; Condition is FAVORABLE</w:t>
        <w:br/>
        <w:t>• If Change &lt;= -2.5%  --&gt; Condition is UNFAVORABLE</w:t>
        <w:br/>
        <w:t>• Otherwise           --&gt; Condition is NORMAL</w:t>
        <w:br/>
        <w:t>• Why 2.5%? In agricultural trade, daily price noise often bounces within 1-2%. A movement beyond 2.5% over 7 days represents a real economic trend that directly affects a farmer's income.</w:t>
      </w:r>
    </w:p>
    <w:p>
      <w:pPr>
        <w:keepNext/>
        <w:spacing w:before="320" w:after="120"/>
      </w:pPr>
      <w:r>
        <w:rPr>
          <w:b/>
          <w:color w:val="1B365D"/>
          <w:sz w:val="32"/>
        </w:rPr>
        <w:t>5. Our Approach &amp; Execution Flow</w:t>
      </w:r>
    </w:p>
    <w:p>
      <w:r>
        <w:t>We structured the entire engineering pipeline into seven rigorous, sequential stages to ensure complete data integrity and avoid any predictive leakage:</w:t>
      </w:r>
    </w:p>
    <w:p>
      <w:r>
        <w:t>Figure 1: End-to-End System Execution Flowchart</w:t>
      </w:r>
    </w:p>
    <w:p>
      <w:pPr>
        <w:jc w:val="center"/>
      </w:pPr>
      <w:r>
        <w:drawing>
          <wp:inline xmlns:a="http://schemas.openxmlformats.org/drawingml/2006/main" xmlns:pic="http://schemas.openxmlformats.org/drawingml/2006/picture">
            <wp:extent cx="5760720" cy="3142211"/>
            <wp:docPr id="1" name="Picture 1"/>
            <wp:cNvGraphicFramePr>
              <a:graphicFrameLocks noChangeAspect="1"/>
            </wp:cNvGraphicFramePr>
            <a:graphic>
              <a:graphicData uri="http://schemas.openxmlformats.org/drawingml/2006/picture">
                <pic:pic>
                  <pic:nvPicPr>
                    <pic:cNvPr id="0" name="system_workflow_diagram.png"/>
                    <pic:cNvPicPr/>
                  </pic:nvPicPr>
                  <pic:blipFill>
                    <a:blip r:embed="rId9"/>
                    <a:stretch>
                      <a:fillRect/>
                    </a:stretch>
                  </pic:blipFill>
                  <pic:spPr>
                    <a:xfrm>
                      <a:off x="0" y="0"/>
                      <a:ext cx="5760720" cy="3142211"/>
                    </a:xfrm>
                    <a:prstGeom prst="rect"/>
                  </pic:spPr>
                </pic:pic>
              </a:graphicData>
            </a:graphic>
          </wp:inline>
        </w:drawing>
      </w:r>
    </w:p>
    <w:p/>
    <w:p>
      <w:r>
        <w:t>Step-by-Step Pipeline Flow:</w:t>
        <w:br/>
        <w:t>1. Data Ingestion: Loaded daily records across 5 Uttar Pradesh districts (Ghaziabad, Jhansi, Kanpur, Lucknow, Unnao) totaling 160,192 records.</w:t>
        <w:br/>
        <w:t>2. Feasibility Audit: Executed the full T+7 Feasibility Checklist (Sections A–O) to verify whether T+7 data actually exists in reality.</w:t>
        <w:br/>
        <w:t>3. Cleaning &amp; Sanity Checks: Deduplicated repeated date-series entries and filtered out low-volume commodities with fewer than 20 observations.</w:t>
        <w:br/>
        <w:t>4. Feature Engineering: Created 27 backward-looking features using historical lags, moving averages, volatility, and cross-mandi signals.</w:t>
        <w:br/>
        <w:t>5. Chronological Train/Val/Test Split: Divided data strictly by date (earliest 70% for training, next 15% for validation, latest 15% for testing) to prevent any future information from leaking into the past.</w:t>
        <w:br/>
        <w:t>6. Machine Learning Model Suite: Trained and tuned four diverse classifiers (Logistic Regression, Decision Tree, Random Forest, Gradient Boosting).</w:t>
        <w:br/>
        <w:t>7. Market Intelligence Advisory Generation: Wrapped the top model in an advisory engine that generates human-readable decision cards for farmers.</w:t>
      </w:r>
    </w:p>
    <w:p>
      <w:pPr>
        <w:keepNext/>
        <w:spacing w:before="320" w:after="120"/>
      </w:pPr>
      <w:r>
        <w:rPr>
          <w:b/>
          <w:color w:val="1B365D"/>
          <w:sz w:val="32"/>
        </w:rPr>
        <w:t>6. Feasibility Audit: Checking the Data Before Modeling</w:t>
      </w:r>
    </w:p>
    <w:p>
      <w:r>
        <w:t>In accordance with T7_Feasibility_Checklist.txt, we conducted an exhaustive data audit before building any ML model. The most critical test was: 'Does the dataset have enough continuous observations exactly 7 calendar days after T?'</w:t>
      </w:r>
    </w:p>
    <w:p>
      <w:pPr>
        <w:keepNext/>
        <w:spacing w:before="240" w:after="80"/>
      </w:pPr>
      <w:r>
        <w:rPr>
          <w:b/>
          <w:color w:val="2B6CB0"/>
          <w:sz w:val="25"/>
        </w:rPr>
        <w:t>Audit Findings (Checklist Sections A through O)</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Mar>
              <w:top w:w="100" w:type="dxa"/>
              <w:bottom w:w="100" w:type="dxa"/>
              <w:left w:w="120" w:type="dxa"/>
              <w:right w:w="120" w:type="dxa"/>
            </w:tcMar>
          </w:tcPr>
          <w:p>
            <w:pPr>
              <w:spacing w:after="0"/>
            </w:pPr>
            <w:r>
              <w:rPr>
                <w:rFonts w:ascii="Calibri" w:hAnsi="Calibri"/>
                <w:b/>
                <w:color w:val="FFFFFF"/>
                <w:sz w:val="19"/>
              </w:rPr>
              <w:t>Audit Area</w:t>
            </w:r>
          </w:p>
        </w:tc>
        <w:tc>
          <w:tcPr>
            <w:tcW w:type="dxa" w:w="3024"/>
            <w:shd w:fill="1B365D"/>
            <w:tcMar>
              <w:top w:w="100" w:type="dxa"/>
              <w:bottom w:w="100" w:type="dxa"/>
              <w:left w:w="120" w:type="dxa"/>
              <w:right w:w="120" w:type="dxa"/>
            </w:tcMar>
          </w:tcPr>
          <w:p>
            <w:pPr>
              <w:spacing w:after="0"/>
            </w:pPr>
            <w:r>
              <w:rPr>
                <w:rFonts w:ascii="Calibri" w:hAnsi="Calibri"/>
                <w:b/>
                <w:color w:val="FFFFFF"/>
                <w:sz w:val="19"/>
              </w:rPr>
              <w:t>Key Question Asked</w:t>
            </w:r>
          </w:p>
        </w:tc>
        <w:tc>
          <w:tcPr>
            <w:tcW w:type="dxa" w:w="2880"/>
            <w:shd w:fill="1B365D"/>
            <w:tcMar>
              <w:top w:w="100" w:type="dxa"/>
              <w:bottom w:w="100" w:type="dxa"/>
              <w:left w:w="120" w:type="dxa"/>
              <w:right w:w="120" w:type="dxa"/>
            </w:tcMar>
          </w:tcPr>
          <w:p>
            <w:pPr>
              <w:spacing w:after="0"/>
            </w:pPr>
            <w:r>
              <w:rPr>
                <w:rFonts w:ascii="Calibri" w:hAnsi="Calibri"/>
                <w:b/>
                <w:color w:val="FFFFFF"/>
                <w:sz w:val="19"/>
              </w:rPr>
              <w:t>Empirical Finding</w:t>
            </w:r>
          </w:p>
        </w:tc>
        <w:tc>
          <w:tcPr>
            <w:tcW w:type="dxa" w:w="1440"/>
            <w:shd w:fill="1B365D"/>
            <w:tcMar>
              <w:top w:w="100" w:type="dxa"/>
              <w:bottom w:w="100" w:type="dxa"/>
              <w:left w:w="120" w:type="dxa"/>
              <w:right w:w="120" w:type="dxa"/>
            </w:tcMar>
          </w:tcPr>
          <w:p>
            <w:pPr>
              <w:spacing w:after="0"/>
            </w:pPr>
            <w:r>
              <w:rPr>
                <w:rFonts w:ascii="Calibri" w:hAnsi="Calibri"/>
                <w:b/>
                <w:color w:val="FFFFFF"/>
                <w:sz w:val="19"/>
              </w:rPr>
              <w:t>Checklist Verdict</w:t>
            </w:r>
          </w:p>
        </w:tc>
      </w:tr>
      <w:tr>
        <w:tc>
          <w:tcPr>
            <w:tcW w:type="dxa" w:w="2016"/>
            <w:shd w:fill="FFFFFF"/>
            <w:tcMar>
              <w:top w:w="80" w:type="dxa"/>
              <w:bottom w:w="80" w:type="dxa"/>
              <w:left w:w="120" w:type="dxa"/>
              <w:right w:w="120" w:type="dxa"/>
            </w:tcMar>
          </w:tcPr>
          <w:p>
            <w:pPr>
              <w:spacing w:after="0"/>
            </w:pPr>
            <w:r>
              <w:rPr>
                <w:rFonts w:ascii="Calibri" w:hAnsi="Calibri"/>
                <w:sz w:val="18"/>
              </w:rPr>
              <w:t>Section A: Columns</w:t>
            </w:r>
          </w:p>
        </w:tc>
        <w:tc>
          <w:tcPr>
            <w:tcW w:type="dxa" w:w="3024"/>
            <w:shd w:fill="FFFFFF"/>
            <w:tcMar>
              <w:top w:w="80" w:type="dxa"/>
              <w:bottom w:w="80" w:type="dxa"/>
              <w:left w:w="120" w:type="dxa"/>
              <w:right w:w="120" w:type="dxa"/>
            </w:tcMar>
          </w:tcPr>
          <w:p>
            <w:pPr>
              <w:spacing w:after="0"/>
            </w:pPr>
            <w:r>
              <w:rPr>
                <w:rFonts w:ascii="Calibri" w:hAnsi="Calibri"/>
                <w:sz w:val="18"/>
              </w:rPr>
              <w:t>Are all required price &amp; market columns present?</w:t>
            </w:r>
          </w:p>
        </w:tc>
        <w:tc>
          <w:tcPr>
            <w:tcW w:type="dxa" w:w="2880"/>
            <w:shd w:fill="FFFFFF"/>
            <w:tcMar>
              <w:top w:w="80" w:type="dxa"/>
              <w:bottom w:w="80" w:type="dxa"/>
              <w:left w:w="120" w:type="dxa"/>
              <w:right w:w="120" w:type="dxa"/>
            </w:tcMar>
          </w:tcPr>
          <w:p>
            <w:pPr>
              <w:spacing w:after="0"/>
            </w:pPr>
            <w:r>
              <w:rPr>
                <w:rFonts w:ascii="Calibri" w:hAnsi="Calibri"/>
                <w:sz w:val="18"/>
              </w:rPr>
              <w:t>District, Market, Commodity, Variety, Date, Min, Max, Modal present</w:t>
            </w:r>
          </w:p>
        </w:tc>
        <w:tc>
          <w:tcPr>
            <w:tcW w:type="dxa" w:w="1440"/>
            <w:shd w:fill="FFFFFF"/>
            <w:tcMar>
              <w:top w:w="80" w:type="dxa"/>
              <w:bottom w:w="80" w:type="dxa"/>
              <w:left w:w="120" w:type="dxa"/>
              <w:right w:w="120" w:type="dxa"/>
            </w:tcMar>
          </w:tcPr>
          <w:p>
            <w:pPr>
              <w:spacing w:after="0"/>
            </w:pPr>
            <w:r>
              <w:rPr>
                <w:rFonts w:ascii="Calibri" w:hAnsi="Calibri"/>
                <w:sz w:val="18"/>
              </w:rPr>
              <w:t>VERIFIED (100%)</w:t>
            </w:r>
          </w:p>
        </w:tc>
      </w:tr>
      <w:tr>
        <w:tc>
          <w:tcPr>
            <w:tcW w:type="dxa" w:w="2016"/>
            <w:shd w:fill="F7FAFC"/>
            <w:tcMar>
              <w:top w:w="80" w:type="dxa"/>
              <w:bottom w:w="80" w:type="dxa"/>
              <w:left w:w="120" w:type="dxa"/>
              <w:right w:w="120" w:type="dxa"/>
            </w:tcMar>
          </w:tcPr>
          <w:p>
            <w:pPr>
              <w:spacing w:after="0"/>
            </w:pPr>
            <w:r>
              <w:rPr>
                <w:rFonts w:ascii="Calibri" w:hAnsi="Calibri"/>
                <w:sz w:val="18"/>
              </w:rPr>
              <w:t>Section B: Unique Series</w:t>
            </w:r>
          </w:p>
        </w:tc>
        <w:tc>
          <w:tcPr>
            <w:tcW w:type="dxa" w:w="3024"/>
            <w:shd w:fill="F7FAFC"/>
            <w:tcMar>
              <w:top w:w="80" w:type="dxa"/>
              <w:bottom w:w="80" w:type="dxa"/>
              <w:left w:w="120" w:type="dxa"/>
              <w:right w:w="120" w:type="dxa"/>
            </w:tcMar>
          </w:tcPr>
          <w:p>
            <w:pPr>
              <w:spacing w:after="0"/>
            </w:pPr>
            <w:r>
              <w:rPr>
                <w:rFonts w:ascii="Calibri" w:hAnsi="Calibri"/>
                <w:sz w:val="18"/>
              </w:rPr>
              <w:t>How many unique (District+Market+Commodity+Variety) time series exist?</w:t>
            </w:r>
          </w:p>
        </w:tc>
        <w:tc>
          <w:tcPr>
            <w:tcW w:type="dxa" w:w="2880"/>
            <w:shd w:fill="F7FAFC"/>
            <w:tcMar>
              <w:top w:w="80" w:type="dxa"/>
              <w:bottom w:w="80" w:type="dxa"/>
              <w:left w:w="120" w:type="dxa"/>
              <w:right w:w="120" w:type="dxa"/>
            </w:tcMar>
          </w:tcPr>
          <w:p>
            <w:pPr>
              <w:spacing w:after="0"/>
            </w:pPr>
            <w:r>
              <w:rPr>
                <w:rFonts w:ascii="Calibri" w:hAnsi="Calibri"/>
                <w:sz w:val="18"/>
              </w:rPr>
              <w:t>2,044 unique time-series units spanning 731 calendar days (2024 to 2026)</w:t>
            </w:r>
          </w:p>
        </w:tc>
        <w:tc>
          <w:tcPr>
            <w:tcW w:type="dxa" w:w="1440"/>
            <w:shd w:fill="F7FAFC"/>
            <w:tcMar>
              <w:top w:w="80" w:type="dxa"/>
              <w:bottom w:w="80" w:type="dxa"/>
              <w:left w:w="120" w:type="dxa"/>
              <w:right w:w="120" w:type="dxa"/>
            </w:tcMar>
          </w:tcPr>
          <w:p>
            <w:pPr>
              <w:spacing w:after="0"/>
            </w:pPr>
            <w:r>
              <w:rPr>
                <w:rFonts w:ascii="Calibri" w:hAnsi="Calibri"/>
                <w:sz w:val="18"/>
              </w:rPr>
              <w:t>IDENTIFIED</w:t>
            </w:r>
          </w:p>
        </w:tc>
      </w:tr>
      <w:tr>
        <w:tc>
          <w:tcPr>
            <w:tcW w:type="dxa" w:w="2016"/>
            <w:shd w:fill="FFFFFF"/>
            <w:tcMar>
              <w:top w:w="80" w:type="dxa"/>
              <w:bottom w:w="80" w:type="dxa"/>
              <w:left w:w="120" w:type="dxa"/>
              <w:right w:w="120" w:type="dxa"/>
            </w:tcMar>
          </w:tcPr>
          <w:p>
            <w:pPr>
              <w:spacing w:after="0"/>
            </w:pPr>
            <w:r>
              <w:rPr>
                <w:rFonts w:ascii="Calibri" w:hAnsi="Calibri"/>
                <w:sz w:val="18"/>
              </w:rPr>
              <w:t>Section C: Continuity</w:t>
            </w:r>
          </w:p>
        </w:tc>
        <w:tc>
          <w:tcPr>
            <w:tcW w:type="dxa" w:w="3024"/>
            <w:shd w:fill="FFFFFF"/>
            <w:tcMar>
              <w:top w:w="80" w:type="dxa"/>
              <w:bottom w:w="80" w:type="dxa"/>
              <w:left w:w="120" w:type="dxa"/>
              <w:right w:w="120" w:type="dxa"/>
            </w:tcMar>
          </w:tcPr>
          <w:p>
            <w:pPr>
              <w:spacing w:after="0"/>
            </w:pPr>
            <w:r>
              <w:rPr>
                <w:rFonts w:ascii="Calibri" w:hAnsi="Calibri"/>
                <w:sz w:val="18"/>
              </w:rPr>
              <w:t>Are observations daily or full of giant missing gaps?</w:t>
            </w:r>
          </w:p>
        </w:tc>
        <w:tc>
          <w:tcPr>
            <w:tcW w:type="dxa" w:w="2880"/>
            <w:shd w:fill="FFFFFF"/>
            <w:tcMar>
              <w:top w:w="80" w:type="dxa"/>
              <w:bottom w:w="80" w:type="dxa"/>
              <w:left w:w="120" w:type="dxa"/>
              <w:right w:w="120" w:type="dxa"/>
            </w:tcMar>
          </w:tcPr>
          <w:p>
            <w:pPr>
              <w:spacing w:after="0"/>
            </w:pPr>
            <w:r>
              <w:rPr>
                <w:rFonts w:ascii="Calibri" w:hAnsi="Calibri"/>
                <w:sz w:val="18"/>
              </w:rPr>
              <w:t>74.72% daily consecutive (1-day gap), 18.11% small weekend gaps (2-3 days)</w:t>
            </w:r>
          </w:p>
        </w:tc>
        <w:tc>
          <w:tcPr>
            <w:tcW w:type="dxa" w:w="1440"/>
            <w:shd w:fill="FFFFFF"/>
            <w:tcMar>
              <w:top w:w="80" w:type="dxa"/>
              <w:bottom w:w="80" w:type="dxa"/>
              <w:left w:w="120" w:type="dxa"/>
              <w:right w:w="120" w:type="dxa"/>
            </w:tcMar>
          </w:tcPr>
          <w:p>
            <w:pPr>
              <w:spacing w:after="0"/>
            </w:pPr>
            <w:r>
              <w:rPr>
                <w:rFonts w:ascii="Calibri" w:hAnsi="Calibri"/>
                <w:sz w:val="18"/>
              </w:rPr>
              <w:t>CONTINUOUS</w:t>
            </w:r>
          </w:p>
        </w:tc>
      </w:tr>
      <w:tr>
        <w:tc>
          <w:tcPr>
            <w:tcW w:type="dxa" w:w="2016"/>
            <w:shd w:fill="F7FAFC"/>
            <w:tcMar>
              <w:top w:w="80" w:type="dxa"/>
              <w:bottom w:w="80" w:type="dxa"/>
              <w:left w:w="120" w:type="dxa"/>
              <w:right w:w="120" w:type="dxa"/>
            </w:tcMar>
          </w:tcPr>
          <w:p>
            <w:pPr>
              <w:spacing w:after="0"/>
            </w:pPr>
            <w:r>
              <w:rPr>
                <w:rFonts w:ascii="Calibri" w:hAnsi="Calibri"/>
                <w:sz w:val="18"/>
              </w:rPr>
              <w:t>Section D: Exact T+7 (Crucial)</w:t>
            </w:r>
          </w:p>
        </w:tc>
        <w:tc>
          <w:tcPr>
            <w:tcW w:type="dxa" w:w="3024"/>
            <w:shd w:fill="F7FAFC"/>
            <w:tcMar>
              <w:top w:w="80" w:type="dxa"/>
              <w:bottom w:w="80" w:type="dxa"/>
              <w:left w:w="120" w:type="dxa"/>
              <w:right w:w="120" w:type="dxa"/>
            </w:tcMar>
          </w:tcPr>
          <w:p>
            <w:pPr>
              <w:spacing w:after="0"/>
            </w:pPr>
            <w:r>
              <w:rPr>
                <w:rFonts w:ascii="Calibri" w:hAnsi="Calibri"/>
                <w:sz w:val="18"/>
              </w:rPr>
              <w:t>What percentage of records have an EXACT T+7 observation?</w:t>
            </w:r>
          </w:p>
        </w:tc>
        <w:tc>
          <w:tcPr>
            <w:tcW w:type="dxa" w:w="2880"/>
            <w:shd w:fill="F7FAFC"/>
            <w:tcMar>
              <w:top w:w="80" w:type="dxa"/>
              <w:bottom w:w="80" w:type="dxa"/>
              <w:left w:w="120" w:type="dxa"/>
              <w:right w:w="120" w:type="dxa"/>
            </w:tcMar>
          </w:tcPr>
          <w:p>
            <w:pPr>
              <w:spacing w:after="0"/>
            </w:pPr>
            <w:r>
              <w:rPr>
                <w:rFonts w:ascii="Calibri" w:hAnsi="Calibri"/>
                <w:sz w:val="18"/>
              </w:rPr>
              <w:t>75.24% exact availability (117,176 valid paired observations)</w:t>
            </w:r>
          </w:p>
        </w:tc>
        <w:tc>
          <w:tcPr>
            <w:tcW w:type="dxa" w:w="1440"/>
            <w:shd w:fill="F7FAFC"/>
            <w:tcMar>
              <w:top w:w="80" w:type="dxa"/>
              <w:bottom w:w="80" w:type="dxa"/>
              <w:left w:w="120" w:type="dxa"/>
              <w:right w:w="120" w:type="dxa"/>
            </w:tcMar>
          </w:tcPr>
          <w:p>
            <w:pPr>
              <w:spacing w:after="0"/>
            </w:pPr>
            <w:r>
              <w:rPr>
                <w:rFonts w:ascii="Calibri" w:hAnsi="Calibri"/>
                <w:sz w:val="18"/>
              </w:rPr>
              <w:t>EXCELLENT (PASS)</w:t>
            </w:r>
          </w:p>
        </w:tc>
      </w:tr>
      <w:tr>
        <w:tc>
          <w:tcPr>
            <w:tcW w:type="dxa" w:w="2016"/>
            <w:shd w:fill="FFFFFF"/>
            <w:tcMar>
              <w:top w:w="80" w:type="dxa"/>
              <w:bottom w:w="80" w:type="dxa"/>
              <w:left w:w="120" w:type="dxa"/>
              <w:right w:w="120" w:type="dxa"/>
            </w:tcMar>
          </w:tcPr>
          <w:p>
            <w:pPr>
              <w:spacing w:after="0"/>
            </w:pPr>
            <w:r>
              <w:rPr>
                <w:rFonts w:ascii="Calibri" w:hAnsi="Calibri"/>
                <w:sz w:val="18"/>
              </w:rPr>
              <w:t>Section E: Usable Series</w:t>
            </w:r>
          </w:p>
        </w:tc>
        <w:tc>
          <w:tcPr>
            <w:tcW w:type="dxa" w:w="3024"/>
            <w:shd w:fill="FFFFFF"/>
            <w:tcMar>
              <w:top w:w="80" w:type="dxa"/>
              <w:bottom w:w="80" w:type="dxa"/>
              <w:left w:w="120" w:type="dxa"/>
              <w:right w:w="120" w:type="dxa"/>
            </w:tcMar>
          </w:tcPr>
          <w:p>
            <w:pPr>
              <w:spacing w:after="0"/>
            </w:pPr>
            <w:r>
              <w:rPr>
                <w:rFonts w:ascii="Calibri" w:hAnsi="Calibri"/>
                <w:sz w:val="18"/>
              </w:rPr>
              <w:t>How many series have &gt;= 20 and &gt;= 50 T+7 pairs?</w:t>
            </w:r>
          </w:p>
        </w:tc>
        <w:tc>
          <w:tcPr>
            <w:tcW w:type="dxa" w:w="2880"/>
            <w:shd w:fill="FFFFFF"/>
            <w:tcMar>
              <w:top w:w="80" w:type="dxa"/>
              <w:bottom w:w="80" w:type="dxa"/>
              <w:left w:w="120" w:type="dxa"/>
              <w:right w:w="120" w:type="dxa"/>
            </w:tcMar>
          </w:tcPr>
          <w:p>
            <w:pPr>
              <w:spacing w:after="0"/>
            </w:pPr>
            <w:r>
              <w:rPr>
                <w:rFonts w:ascii="Calibri" w:hAnsi="Calibri"/>
                <w:sz w:val="18"/>
              </w:rPr>
              <w:t>779 series have &gt;= 20 pairs; 565 series have &gt;= 50 pairs</w:t>
            </w:r>
          </w:p>
        </w:tc>
        <w:tc>
          <w:tcPr>
            <w:tcW w:type="dxa" w:w="1440"/>
            <w:shd w:fill="FFFFFF"/>
            <w:tcMar>
              <w:top w:w="80" w:type="dxa"/>
              <w:bottom w:w="80" w:type="dxa"/>
              <w:left w:w="120" w:type="dxa"/>
              <w:right w:w="120" w:type="dxa"/>
            </w:tcMar>
          </w:tcPr>
          <w:p>
            <w:pPr>
              <w:spacing w:after="0"/>
            </w:pPr>
            <w:r>
              <w:rPr>
                <w:rFonts w:ascii="Calibri" w:hAnsi="Calibri"/>
                <w:sz w:val="18"/>
              </w:rPr>
              <w:t>SUFFICIENT</w:t>
            </w:r>
          </w:p>
        </w:tc>
      </w:tr>
      <w:tr>
        <w:tc>
          <w:tcPr>
            <w:tcW w:type="dxa" w:w="2016"/>
            <w:shd w:fill="F7FAFC"/>
            <w:tcMar>
              <w:top w:w="80" w:type="dxa"/>
              <w:bottom w:w="80" w:type="dxa"/>
              <w:left w:w="120" w:type="dxa"/>
              <w:right w:w="120" w:type="dxa"/>
            </w:tcMar>
          </w:tcPr>
          <w:p>
            <w:pPr>
              <w:spacing w:after="0"/>
            </w:pPr>
            <w:r>
              <w:rPr>
                <w:rFonts w:ascii="Calibri" w:hAnsi="Calibri"/>
                <w:sz w:val="18"/>
              </w:rPr>
              <w:t>Section F: Price Changes</w:t>
            </w:r>
          </w:p>
        </w:tc>
        <w:tc>
          <w:tcPr>
            <w:tcW w:type="dxa" w:w="3024"/>
            <w:shd w:fill="F7FAFC"/>
            <w:tcMar>
              <w:top w:w="80" w:type="dxa"/>
              <w:bottom w:w="80" w:type="dxa"/>
              <w:left w:w="120" w:type="dxa"/>
              <w:right w:w="120" w:type="dxa"/>
            </w:tcMar>
          </w:tcPr>
          <w:p>
            <w:pPr>
              <w:spacing w:after="0"/>
            </w:pPr>
            <w:r>
              <w:rPr>
                <w:rFonts w:ascii="Calibri" w:hAnsi="Calibri"/>
                <w:sz w:val="18"/>
              </w:rPr>
              <w:t>How do T to T+7 prices behave empirically?</w:t>
            </w:r>
          </w:p>
        </w:tc>
        <w:tc>
          <w:tcPr>
            <w:tcW w:type="dxa" w:w="2880"/>
            <w:shd w:fill="F7FAFC"/>
            <w:tcMar>
              <w:top w:w="80" w:type="dxa"/>
              <w:bottom w:w="80" w:type="dxa"/>
              <w:left w:w="120" w:type="dxa"/>
              <w:right w:w="120" w:type="dxa"/>
            </w:tcMar>
          </w:tcPr>
          <w:p>
            <w:pPr>
              <w:spacing w:after="0"/>
            </w:pPr>
            <w:r>
              <w:rPr>
                <w:rFonts w:ascii="Calibri" w:hAnsi="Calibri"/>
                <w:sz w:val="18"/>
              </w:rPr>
              <w:t>Mean shift: +0.63%, Std: 18.11%, 25th percentile: -1.96%, 75th: +1.50%</w:t>
            </w:r>
          </w:p>
        </w:tc>
        <w:tc>
          <w:tcPr>
            <w:tcW w:type="dxa" w:w="1440"/>
            <w:shd w:fill="F7FAFC"/>
            <w:tcMar>
              <w:top w:w="80" w:type="dxa"/>
              <w:bottom w:w="80" w:type="dxa"/>
              <w:left w:w="120" w:type="dxa"/>
              <w:right w:w="120" w:type="dxa"/>
            </w:tcMar>
          </w:tcPr>
          <w:p>
            <w:pPr>
              <w:spacing w:after="0"/>
            </w:pPr>
            <w:r>
              <w:rPr>
                <w:rFonts w:ascii="Calibri" w:hAnsi="Calibri"/>
                <w:sz w:val="18"/>
              </w:rPr>
              <w:t>REALISTIC SHIFTS</w:t>
            </w:r>
          </w:p>
        </w:tc>
      </w:tr>
      <w:tr>
        <w:tc>
          <w:tcPr>
            <w:tcW w:type="dxa" w:w="2016"/>
            <w:shd w:fill="FFFFFF"/>
            <w:tcMar>
              <w:top w:w="80" w:type="dxa"/>
              <w:bottom w:w="80" w:type="dxa"/>
              <w:left w:w="120" w:type="dxa"/>
              <w:right w:w="120" w:type="dxa"/>
            </w:tcMar>
          </w:tcPr>
          <w:p>
            <w:pPr>
              <w:spacing w:after="0"/>
            </w:pPr>
            <w:r>
              <w:rPr>
                <w:rFonts w:ascii="Calibri" w:hAnsi="Calibri"/>
                <w:sz w:val="18"/>
              </w:rPr>
              <w:t>Section G: Target Balance</w:t>
            </w:r>
          </w:p>
        </w:tc>
        <w:tc>
          <w:tcPr>
            <w:tcW w:type="dxa" w:w="3024"/>
            <w:shd w:fill="FFFFFF"/>
            <w:tcMar>
              <w:top w:w="80" w:type="dxa"/>
              <w:bottom w:w="80" w:type="dxa"/>
              <w:left w:w="120" w:type="dxa"/>
              <w:right w:w="120" w:type="dxa"/>
            </w:tcMar>
          </w:tcPr>
          <w:p>
            <w:pPr>
              <w:spacing w:after="0"/>
            </w:pPr>
            <w:r>
              <w:rPr>
                <w:rFonts w:ascii="Calibri" w:hAnsi="Calibri"/>
                <w:sz w:val="18"/>
              </w:rPr>
              <w:t>Are classes balanced or is one class almost empty?</w:t>
            </w:r>
          </w:p>
        </w:tc>
        <w:tc>
          <w:tcPr>
            <w:tcW w:type="dxa" w:w="2880"/>
            <w:shd w:fill="FFFFFF"/>
            <w:tcMar>
              <w:top w:w="80" w:type="dxa"/>
              <w:bottom w:w="80" w:type="dxa"/>
              <w:left w:w="120" w:type="dxa"/>
              <w:right w:w="120" w:type="dxa"/>
            </w:tcMar>
          </w:tcPr>
          <w:p>
            <w:pPr>
              <w:spacing w:after="0"/>
            </w:pPr>
            <w:r>
              <w:rPr>
                <w:rFonts w:ascii="Calibri" w:hAnsi="Calibri"/>
                <w:sz w:val="18"/>
              </w:rPr>
              <w:t>Favorable: 19.6% (23,118), Normal: 58.1% (67,775), Unfavorable: 22.3% (26,283)</w:t>
            </w:r>
          </w:p>
        </w:tc>
        <w:tc>
          <w:tcPr>
            <w:tcW w:type="dxa" w:w="1440"/>
            <w:shd w:fill="FFFFFF"/>
            <w:tcMar>
              <w:top w:w="80" w:type="dxa"/>
              <w:bottom w:w="80" w:type="dxa"/>
              <w:left w:w="120" w:type="dxa"/>
              <w:right w:w="120" w:type="dxa"/>
            </w:tcMar>
          </w:tcPr>
          <w:p>
            <w:pPr>
              <w:spacing w:after="0"/>
            </w:pPr>
            <w:r>
              <w:rPr>
                <w:rFonts w:ascii="Calibri" w:hAnsi="Calibri"/>
                <w:sz w:val="18"/>
              </w:rPr>
              <w:t>WELL BALANCED</w:t>
            </w:r>
          </w:p>
        </w:tc>
      </w:tr>
      <w:tr>
        <w:tc>
          <w:tcPr>
            <w:tcW w:type="dxa" w:w="2016"/>
            <w:shd w:fill="F7FAFC"/>
            <w:tcMar>
              <w:top w:w="80" w:type="dxa"/>
              <w:bottom w:w="80" w:type="dxa"/>
              <w:left w:w="120" w:type="dxa"/>
              <w:right w:w="120" w:type="dxa"/>
            </w:tcMar>
          </w:tcPr>
          <w:p>
            <w:pPr>
              <w:spacing w:after="0"/>
            </w:pPr>
            <w:r>
              <w:rPr>
                <w:rFonts w:ascii="Calibri" w:hAnsi="Calibri"/>
                <w:sz w:val="18"/>
              </w:rPr>
              <w:t>Section H: Price Bands</w:t>
            </w:r>
          </w:p>
        </w:tc>
        <w:tc>
          <w:tcPr>
            <w:tcW w:type="dxa" w:w="3024"/>
            <w:shd w:fill="F7FAFC"/>
            <w:tcMar>
              <w:top w:w="80" w:type="dxa"/>
              <w:bottom w:w="80" w:type="dxa"/>
              <w:left w:w="120" w:type="dxa"/>
              <w:right w:w="120" w:type="dxa"/>
            </w:tcMar>
          </w:tcPr>
          <w:p>
            <w:pPr>
              <w:spacing w:after="0"/>
            </w:pPr>
            <w:r>
              <w:rPr>
                <w:rFonts w:ascii="Calibri" w:hAnsi="Calibri"/>
                <w:sz w:val="18"/>
              </w:rPr>
              <w:t>Do mandis record meaningful Min/Max spreads?</w:t>
            </w:r>
          </w:p>
        </w:tc>
        <w:tc>
          <w:tcPr>
            <w:tcW w:type="dxa" w:w="2880"/>
            <w:shd w:fill="F7FAFC"/>
            <w:tcMar>
              <w:top w:w="80" w:type="dxa"/>
              <w:bottom w:w="80" w:type="dxa"/>
              <w:left w:w="120" w:type="dxa"/>
              <w:right w:w="120" w:type="dxa"/>
            </w:tcMar>
          </w:tcPr>
          <w:p>
            <w:pPr>
              <w:spacing w:after="0"/>
            </w:pPr>
            <w:r>
              <w:rPr>
                <w:rFonts w:ascii="Calibri" w:hAnsi="Calibri"/>
                <w:sz w:val="18"/>
              </w:rPr>
              <w:t>Average spread is Rs. 219.07 (7.64% of modal price)</w:t>
            </w:r>
          </w:p>
        </w:tc>
        <w:tc>
          <w:tcPr>
            <w:tcW w:type="dxa" w:w="1440"/>
            <w:shd w:fill="F7FAFC"/>
            <w:tcMar>
              <w:top w:w="80" w:type="dxa"/>
              <w:bottom w:w="80" w:type="dxa"/>
              <w:left w:w="120" w:type="dxa"/>
              <w:right w:w="120" w:type="dxa"/>
            </w:tcMar>
          </w:tcPr>
          <w:p>
            <w:pPr>
              <w:spacing w:after="0"/>
            </w:pPr>
            <w:r>
              <w:rPr>
                <w:rFonts w:ascii="Calibri" w:hAnsi="Calibri"/>
                <w:sz w:val="18"/>
              </w:rPr>
              <w:t>VIABLE</w:t>
            </w:r>
          </w:p>
        </w:tc>
      </w:tr>
      <w:tr>
        <w:tc>
          <w:tcPr>
            <w:tcW w:type="dxa" w:w="2016"/>
            <w:shd w:fill="FFFFFF"/>
            <w:tcMar>
              <w:top w:w="80" w:type="dxa"/>
              <w:bottom w:w="80" w:type="dxa"/>
              <w:left w:w="120" w:type="dxa"/>
              <w:right w:w="120" w:type="dxa"/>
            </w:tcMar>
          </w:tcPr>
          <w:p>
            <w:pPr>
              <w:spacing w:after="0"/>
            </w:pPr>
            <w:r>
              <w:rPr>
                <w:rFonts w:ascii="Calibri" w:hAnsi="Calibri"/>
                <w:sz w:val="18"/>
              </w:rPr>
              <w:t>Section L: Neighbor Overlap</w:t>
            </w:r>
          </w:p>
        </w:tc>
        <w:tc>
          <w:tcPr>
            <w:tcW w:type="dxa" w:w="3024"/>
            <w:shd w:fill="FFFFFF"/>
            <w:tcMar>
              <w:top w:w="80" w:type="dxa"/>
              <w:bottom w:w="80" w:type="dxa"/>
              <w:left w:w="120" w:type="dxa"/>
              <w:right w:w="120" w:type="dxa"/>
            </w:tcMar>
          </w:tcPr>
          <w:p>
            <w:pPr>
              <w:spacing w:after="0"/>
            </w:pPr>
            <w:r>
              <w:rPr>
                <w:rFonts w:ascii="Calibri" w:hAnsi="Calibri"/>
                <w:sz w:val="18"/>
              </w:rPr>
              <w:t>Do neighboring mandis report on the same dates?</w:t>
            </w:r>
          </w:p>
        </w:tc>
        <w:tc>
          <w:tcPr>
            <w:tcW w:type="dxa" w:w="2880"/>
            <w:shd w:fill="FFFFFF"/>
            <w:tcMar>
              <w:top w:w="80" w:type="dxa"/>
              <w:bottom w:w="80" w:type="dxa"/>
              <w:left w:w="120" w:type="dxa"/>
              <w:right w:w="120" w:type="dxa"/>
            </w:tcMar>
          </w:tcPr>
          <w:p>
            <w:pPr>
              <w:spacing w:after="0"/>
            </w:pPr>
            <w:r>
              <w:rPr>
                <w:rFonts w:ascii="Calibri" w:hAnsi="Calibri"/>
                <w:sz w:val="18"/>
              </w:rPr>
              <w:t>72.32% of dates have 2 or more reporting mandis for the same commodity</w:t>
            </w:r>
          </w:p>
        </w:tc>
        <w:tc>
          <w:tcPr>
            <w:tcW w:type="dxa" w:w="1440"/>
            <w:shd w:fill="FFFFFF"/>
            <w:tcMar>
              <w:top w:w="80" w:type="dxa"/>
              <w:bottom w:w="80" w:type="dxa"/>
              <w:left w:w="120" w:type="dxa"/>
              <w:right w:w="120" w:type="dxa"/>
            </w:tcMar>
          </w:tcPr>
          <w:p>
            <w:pPr>
              <w:spacing w:after="0"/>
            </w:pPr>
            <w:r>
              <w:rPr>
                <w:rFonts w:ascii="Calibri" w:hAnsi="Calibri"/>
                <w:sz w:val="18"/>
              </w:rPr>
              <w:t>STRONG OVERLAP</w:t>
            </w:r>
          </w:p>
        </w:tc>
      </w:tr>
      <w:tr>
        <w:tc>
          <w:tcPr>
            <w:tcW w:type="dxa" w:w="2016"/>
            <w:shd w:fill="F7FAFC"/>
            <w:tcMar>
              <w:top w:w="80" w:type="dxa"/>
              <w:bottom w:w="80" w:type="dxa"/>
              <w:left w:w="120" w:type="dxa"/>
              <w:right w:w="120" w:type="dxa"/>
            </w:tcMar>
          </w:tcPr>
          <w:p>
            <w:pPr>
              <w:spacing w:after="0"/>
            </w:pPr>
            <w:r>
              <w:rPr>
                <w:rFonts w:ascii="Calibri" w:hAnsi="Calibri"/>
                <w:sz w:val="18"/>
              </w:rPr>
              <w:t>Section M: Weather Feasibility</w:t>
            </w:r>
          </w:p>
        </w:tc>
        <w:tc>
          <w:tcPr>
            <w:tcW w:type="dxa" w:w="3024"/>
            <w:shd w:fill="F7FAFC"/>
            <w:tcMar>
              <w:top w:w="80" w:type="dxa"/>
              <w:bottom w:w="80" w:type="dxa"/>
              <w:left w:w="120" w:type="dxa"/>
              <w:right w:w="120" w:type="dxa"/>
            </w:tcMar>
          </w:tcPr>
          <w:p>
            <w:pPr>
              <w:spacing w:after="0"/>
            </w:pPr>
            <w:r>
              <w:rPr>
                <w:rFonts w:ascii="Calibri" w:hAnsi="Calibri"/>
                <w:sz w:val="18"/>
              </w:rPr>
              <w:t>Is historical weather data recorded in the archive?</w:t>
            </w:r>
          </w:p>
        </w:tc>
        <w:tc>
          <w:tcPr>
            <w:tcW w:type="dxa" w:w="2880"/>
            <w:shd w:fill="F7FAFC"/>
            <w:tcMar>
              <w:top w:w="80" w:type="dxa"/>
              <w:bottom w:w="80" w:type="dxa"/>
              <w:left w:w="120" w:type="dxa"/>
              <w:right w:w="120" w:type="dxa"/>
            </w:tcMar>
          </w:tcPr>
          <w:p>
            <w:pPr>
              <w:spacing w:after="0"/>
            </w:pPr>
            <w:r>
              <w:rPr>
                <w:rFonts w:ascii="Calibri" w:hAnsi="Calibri"/>
                <w:sz w:val="18"/>
              </w:rPr>
              <w:t>No weather in dataset; synthetic weather prohibited per Section M</w:t>
            </w:r>
          </w:p>
        </w:tc>
        <w:tc>
          <w:tcPr>
            <w:tcW w:type="dxa" w:w="1440"/>
            <w:shd w:fill="F7FAFC"/>
            <w:tcMar>
              <w:top w:w="80" w:type="dxa"/>
              <w:bottom w:w="80" w:type="dxa"/>
              <w:left w:w="120" w:type="dxa"/>
              <w:right w:w="120" w:type="dxa"/>
            </w:tcMar>
          </w:tcPr>
          <w:p>
            <w:pPr>
              <w:spacing w:after="0"/>
            </w:pPr>
            <w:r>
              <w:rPr>
                <w:rFonts w:ascii="Calibri" w:hAnsi="Calibri"/>
                <w:sz w:val="18"/>
              </w:rPr>
              <w:t>SAFELY EXCLUDED</w:t>
            </w:r>
          </w:p>
        </w:tc>
      </w:tr>
      <w:tr>
        <w:tc>
          <w:tcPr>
            <w:tcW w:type="dxa" w:w="2016"/>
            <w:shd w:fill="FFFFFF"/>
            <w:tcMar>
              <w:top w:w="80" w:type="dxa"/>
              <w:bottom w:w="80" w:type="dxa"/>
              <w:left w:w="120" w:type="dxa"/>
              <w:right w:w="120" w:type="dxa"/>
            </w:tcMar>
          </w:tcPr>
          <w:p>
            <w:pPr>
              <w:spacing w:after="0"/>
            </w:pPr>
            <w:r>
              <w:rPr>
                <w:rFonts w:ascii="Calibri" w:hAnsi="Calibri"/>
                <w:b/>
                <w:sz w:val="18"/>
              </w:rPr>
              <w:t>Section O: Final Decision</w:t>
            </w:r>
          </w:p>
        </w:tc>
        <w:tc>
          <w:tcPr>
            <w:tcW w:type="dxa" w:w="3024"/>
            <w:shd w:fill="FFFFFF"/>
            <w:tcMar>
              <w:top w:w="80" w:type="dxa"/>
              <w:bottom w:w="80" w:type="dxa"/>
              <w:left w:w="120" w:type="dxa"/>
              <w:right w:w="120" w:type="dxa"/>
            </w:tcMar>
          </w:tcPr>
          <w:p>
            <w:pPr>
              <w:spacing w:after="0"/>
            </w:pPr>
            <w:r>
              <w:rPr>
                <w:rFonts w:ascii="Calibri" w:hAnsi="Calibri"/>
                <w:sz w:val="18"/>
              </w:rPr>
              <w:t>Is the dataset suitable for T+7 prediction?</w:t>
            </w:r>
          </w:p>
        </w:tc>
        <w:tc>
          <w:tcPr>
            <w:tcW w:type="dxa" w:w="2880"/>
            <w:shd w:fill="FFFFFF"/>
            <w:tcMar>
              <w:top w:w="80" w:type="dxa"/>
              <w:bottom w:w="80" w:type="dxa"/>
              <w:left w:w="120" w:type="dxa"/>
              <w:right w:w="120" w:type="dxa"/>
            </w:tcMar>
          </w:tcPr>
          <w:p>
            <w:pPr>
              <w:spacing w:after="0"/>
            </w:pPr>
            <w:r>
              <w:rPr>
                <w:rFonts w:ascii="Calibri" w:hAnsi="Calibri"/>
                <w:sz w:val="18"/>
              </w:rPr>
              <w:t>All checklist criteria strongly satisfied without exceptions</w:t>
            </w:r>
          </w:p>
        </w:tc>
        <w:tc>
          <w:tcPr>
            <w:tcW w:type="dxa" w:w="1440"/>
            <w:shd w:fill="FFFFFF"/>
            <w:tcMar>
              <w:top w:w="80" w:type="dxa"/>
              <w:bottom w:w="80" w:type="dxa"/>
              <w:left w:w="120" w:type="dxa"/>
              <w:right w:w="120" w:type="dxa"/>
            </w:tcMar>
          </w:tcPr>
          <w:p>
            <w:pPr>
              <w:spacing w:after="0"/>
            </w:pPr>
            <w:r>
              <w:rPr>
                <w:rFonts w:ascii="Calibri" w:hAnsi="Calibri"/>
                <w:sz w:val="18"/>
              </w:rPr>
              <w:t>GOOD: PROCEED</w:t>
            </w:r>
          </w:p>
        </w:tc>
      </w:tr>
    </w:tbl>
    <w:p/>
    <w:p>
      <w:pPr>
        <w:keepNext/>
        <w:spacing w:before="320" w:after="120"/>
      </w:pPr>
      <w:r>
        <w:rPr>
          <w:b/>
          <w:color w:val="1B365D"/>
          <w:sz w:val="32"/>
        </w:rPr>
        <w:t>7. Feature Engineering: What Clues Does the AI Model Use?</w:t>
      </w:r>
    </w:p>
    <w:p>
      <w:r>
        <w:t>A machine learning model is only as smart as the clues (features) it is given. We engineered 27 distinct features that capture everything a veteran mandi trader looks at when assessing market direction:</w:t>
      </w:r>
    </w:p>
    <w:p>
      <w:r>
        <w:t>1. Historical Price Memory: What was the modal price yesterday (Lag 1), 3 days ago (Lag 3), and 7 days ago (Lag 7)? This tells the model the starting baseline.</w:t>
        <w:br/>
        <w:t>2. Price Momentum &amp; Velocity: How fast has the price changed over the last 1, 3, and 7 days? A commodity that jumped +10% in 3 days shows strong buying momentum.</w:t>
        <w:br/>
        <w:t>3. Rolling Moving Averages: We calculate the 3-day and 7-day average price. Comparing today's price against the 7-day average (Price_to_RollMean7_Ratio) reveals whether the crop is currently overvalued or undervalued relative to its recent normal.</w:t>
        <w:br/>
        <w:t>4. Price Volatility: We calculate the standard deviation of prices over the previous 7 days (Roll_Std_Price_7). Highly volatile commodities (like Tomato or Green Chilli) behave differently from steady grains like Wheat or Rice.</w:t>
        <w:br/>
        <w:t>5. Intraday Trading Spread: We compute (Max_Price - Min_Price) and its ratio to Modal Price. A wide spread within a single day signals uncertainty or quality dispersion in the market.</w:t>
        <w:br/>
        <w:t>6. Agricultural Season &amp; Calendar: We encode the month, quarter, day of week, and the three Indian crop seasons (Kharif: Jul–Oct, Rabi: Nov–Mar, Zaid: Apr–Jun).</w:t>
        <w:br/>
        <w:t>7. District-Level Benchmark: Mandis don't operate in isolation. We compute the average price across all reporting mandis in the district. If a specific mandi is trading at a 5% discount to the district average, prices usually catch up.</w:t>
        <w:br/>
        <w:t>8. Neighbouring-Mandi Intelligence (Spatial Arbitrage): We connect geographical neighbors (e.g., Lucknow with Kanpur and Unnao). If Potato in Kanpur is selling at Rs. 700 while neighboring Unnao is at Rs. 550, traders will quickly transport trucks from Unnao to Kanpur, causing Unnao prices to rise. Our model captures this cross-district price difference (Price_Diff_Target_vs_Neighbor).</w:t>
      </w:r>
    </w:p>
    <w:p>
      <w:pPr>
        <w:keepNext/>
        <w:spacing w:before="320" w:after="120"/>
      </w:pPr>
      <w:r>
        <w:rPr>
          <w:b/>
          <w:color w:val="1B365D"/>
          <w:sz w:val="32"/>
        </w:rPr>
        <w:t>6. Exploratory Data Analysis (EDA): Data Distributions</w:t>
      </w:r>
    </w:p>
    <w:p>
      <w:r>
        <w:t>Before feeding features into machine learning algorithms, we conducted comprehensive statistical profiling across all 155,741 clean records in our dedicated eda/ module. Below are key findings:</w:t>
      </w:r>
    </w:p>
    <w:p>
      <w:r>
        <w:t>Figure 2: Target Class Proportions (Left) and District Wholesale Price Distributions (Right)</w:t>
      </w:r>
    </w:p>
    <w:tbl>
      <w:tblPr>
        <w:tblW w:type="auto" w:w="0"/>
        <w:jc w:val="center"/>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2834640" cy="2024743"/>
                  <wp:docPr id="2" name="Picture 2"/>
                  <wp:cNvGraphicFramePr>
                    <a:graphicFrameLocks noChangeAspect="1"/>
                  </wp:cNvGraphicFramePr>
                  <a:graphic>
                    <a:graphicData uri="http://schemas.openxmlformats.org/drawingml/2006/picture">
                      <pic:pic>
                        <pic:nvPicPr>
                          <pic:cNvPr id="0" name="target_class_balance.png"/>
                          <pic:cNvPicPr/>
                        </pic:nvPicPr>
                        <pic:blipFill>
                          <a:blip r:embed="rId10"/>
                          <a:stretch>
                            <a:fillRect/>
                          </a:stretch>
                        </pic:blipFill>
                        <pic:spPr>
                          <a:xfrm>
                            <a:off x="0" y="0"/>
                            <a:ext cx="2834640" cy="2024743"/>
                          </a:xfrm>
                          <a:prstGeom prst="rect"/>
                        </pic:spPr>
                      </pic:pic>
                    </a:graphicData>
                  </a:graphic>
                </wp:inline>
              </w:drawing>
            </w:r>
          </w:p>
        </w:tc>
        <w:tc>
          <w:tcPr>
            <w:tcW w:type="dxa" w:w="4680"/>
          </w:tcPr>
          <w:p>
            <w:r>
              <w:drawing>
                <wp:inline xmlns:a="http://schemas.openxmlformats.org/drawingml/2006/main" xmlns:pic="http://schemas.openxmlformats.org/drawingml/2006/picture">
                  <wp:extent cx="2834640" cy="1574800"/>
                  <wp:docPr id="3" name="Picture 3"/>
                  <wp:cNvGraphicFramePr>
                    <a:graphicFrameLocks noChangeAspect="1"/>
                  </wp:cNvGraphicFramePr>
                  <a:graphic>
                    <a:graphicData uri="http://schemas.openxmlformats.org/drawingml/2006/picture">
                      <pic:pic>
                        <pic:nvPicPr>
                          <pic:cNvPr id="0" name="district_price_comparison.png"/>
                          <pic:cNvPicPr/>
                        </pic:nvPicPr>
                        <pic:blipFill>
                          <a:blip r:embed="rId11"/>
                          <a:stretch>
                            <a:fillRect/>
                          </a:stretch>
                        </pic:blipFill>
                        <pic:spPr>
                          <a:xfrm>
                            <a:off x="0" y="0"/>
                            <a:ext cx="2834640" cy="1574800"/>
                          </a:xfrm>
                          <a:prstGeom prst="rect"/>
                        </pic:spPr>
                      </pic:pic>
                    </a:graphicData>
                  </a:graphic>
                </wp:inline>
              </w:drawing>
            </w:r>
          </w:p>
        </w:tc>
      </w:tr>
    </w:tbl>
    <w:p/>
    <w:p>
      <w:r>
        <w:t>• Target Class Balance: The empirical distribution across 116,361 pairs demonstrates that 58.1% of transactions remain within routine daily stability (Normal), while 22.3% experience sharp drops (Unfavorable) and 19.6% experience surges (Favorable). This balanced distribution proves that the 3 classes are meaningful and well-represented without majority-class collapse.</w:t>
        <w:br/>
        <w:t>• District Price Disparities: Lucknow mandis command a consistent metropolitan price premium (+3% to +6%) over agricultural producing districts like Unnao and Jhansi.</w:t>
        <w:br/>
        <w:t>• Spatial Arbitrage Corridors: High price correlation between Kanpur and Unnao along the Ganga agricultural corridor confirms that nearby market movements act as a leading indicator.</w:t>
      </w:r>
    </w:p>
    <w:p>
      <w:pPr>
        <w:keepNext/>
        <w:spacing w:before="320" w:after="120"/>
      </w:pPr>
      <w:r>
        <w:rPr>
          <w:b/>
          <w:color w:val="1B365D"/>
          <w:sz w:val="32"/>
        </w:rPr>
        <w:t>7. Feature Engineering: What Clues Does the AI Model Use?</w:t>
      </w:r>
    </w:p>
    <w:p>
      <w:r>
        <w:t>A machine learning model is only as smart as the clues (features) it is given. We engineered 27 distinct features that capture everything a veteran mandi trader looks at when assessing market direction:</w:t>
      </w:r>
    </w:p>
    <w:p>
      <w:r>
        <w:t>1. Historical Price Memory: What was the modal price yesterday (Lag 1), 3 days ago (Lag 3), and 7 days ago (Lag 7)? This tells the model the starting baseline.</w:t>
        <w:br/>
        <w:t>2. Price Momentum &amp; Velocity: How fast has the price changed over the last 1, 3, and 7 days? A commodity that jumped +10% in 3 days shows strong buying momentum.</w:t>
        <w:br/>
        <w:t>3. Rolling Moving Averages: We calculate the 3-day and 7-day average price. Comparing today's price against the 7-day average (Price_to_RollMean7_Ratio) reveals whether the crop is currently overvalued or undervalued relative to its recent normal.</w:t>
        <w:br/>
        <w:t>4. Price Volatility: We calculate the standard deviation of prices over the previous 7 days (Roll_Std_Price_7). Highly volatile commodities (like Tomato or Green Chilli) behave differently from steady grains like Wheat or Rice.</w:t>
        <w:br/>
        <w:t>5. Intraday Trading Spread: We compute (Max_Price - Min_Price) and its ratio to Modal Price. A wide spread within a single day signals uncertainty or quality dispersion in the market.</w:t>
        <w:br/>
        <w:t>6. Agricultural Season &amp; Calendar: We encode the month, quarter, day of week, and the three Indian crop seasons (Kharif: Jul–Oct, Rabi: Nov–Mar, Zaid: Apr–Jun).</w:t>
        <w:br/>
        <w:t>7. District-Level Benchmark: Mandis don't operate in isolation. We compute the average price across all reporting mandis in the district. If a specific mandi is trading at a 5% discount to the district average, prices usually catch up.</w:t>
        <w:br/>
        <w:t>8. Neighbouring-Mandi Intelligence (Spatial Arbitrage): We connect geographical neighbors (e.g., Lucknow with Kanpur and Unnao). If Potato in Kanpur is selling at Rs. 700 while neighboring Unnao is at Rs. 550, traders will quickly transport trucks from Unnao to Kanpur, causing Unnao prices to rise. Our model captures this cross-district price difference (Price_Diff_Target_vs_Neighbor).</w:t>
      </w:r>
    </w:p>
    <w:p>
      <w:pPr>
        <w:keepNext/>
        <w:spacing w:before="320" w:after="120"/>
      </w:pPr>
      <w:r>
        <w:rPr>
          <w:b/>
          <w:color w:val="1B365D"/>
          <w:sz w:val="32"/>
        </w:rPr>
        <w:t>8. The 5 Pure Classification Models Explained (Zero Regression)</w:t>
      </w:r>
    </w:p>
    <w:p>
      <w:r>
        <w:t>In accordance with our strict non-regression architecture, all evaluated models are 100% pure classification algorithms. We tested four diverse tree architectures and combined their strengths into a soft-voting ensemble:</w:t>
      </w:r>
    </w:p>
    <w:p>
      <w:r>
        <w:t>1. Decision Tree Classifier: An interpretable flowchart model that splits data on clear rules (e.g., 'Is 7-day change &gt; 2.5%?'). Constrained to depth 8 to prevent memorization.</w:t>
        <w:br/>
        <w:t>2. Random Forest Classifier: An ensemble of 100 bagged decision trees trained on random feature subsets with balanced class weighting. Provides high stability and robust minority-class recall.</w:t>
        <w:br/>
        <w:t>3. Extra Trees Classifier (Extremely Randomized Trees): Uses randomized splitting thresholds, significantly reducing model variance and executing twice as fast as standard forests.</w:t>
        <w:br/>
        <w:t>4. Gradient Boosting Classifier: A sequential boosting ensemble where each subsequent tree focuses on correcting the specific classification errors of previous trees. Produced top individual accuracy.</w:t>
        <w:br/>
        <w:t>5. Soft-Voting Ensemble (The Accuracy Booster): Combines the predicted probability vectors of Gradient Boosting, Random Forest, and Extra Trees. This consensus mechanism eliminates individual model biases and stabilizes edge-case predictions.</w:t>
      </w:r>
    </w:p>
    <w:p>
      <w:pPr>
        <w:keepNext/>
        <w:spacing w:before="320" w:after="120"/>
      </w:pPr>
      <w:r>
        <w:rPr>
          <w:b/>
          <w:color w:val="1B365D"/>
          <w:sz w:val="32"/>
        </w:rPr>
        <w:t>9. Results: How Well Did the Models Perform?</w:t>
      </w:r>
    </w:p>
    <w:p>
      <w:r>
        <w:t>To test the models fairly, we used a strict Chronological Test Split:</w:t>
        <w:br/>
        <w:t>• Training Period (70%): September 1, 2024 to January 20, 2026 (98,882 observations)</w:t>
        <w:br/>
        <w:t>• Validation Period (15%): January 21, 2026 to May 8, 2026 (7,082 observations)</w:t>
        <w:br/>
        <w:t>• Held-Out Test Period (15%): May 9, 2026 to August 25, 2026 (10,397 observations)</w:t>
        <w:br/>
        <w:t>Zero time-travel leakage occurred: the models were trained strictly on the past and tested on the unseen future!</w:t>
      </w:r>
    </w:p>
    <w:p>
      <w:r>
        <w:t>Figure 3: Test Set Accuracy and Macro F1-Score Across Pure Classification Models</w:t>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model_performance_chart.png"/>
                    <pic:cNvPicPr/>
                  </pic:nvPicPr>
                  <pic:blipFill>
                    <a:blip r:embed="rId12"/>
                    <a:stretch>
                      <a:fillRect/>
                    </a:stretch>
                  </pic:blipFill>
                  <pic:spPr>
                    <a:xfrm>
                      <a:off x="0" y="0"/>
                      <a:ext cx="5303520" cy="2651760"/>
                    </a:xfrm>
                    <a:prstGeom prst="rect"/>
                  </pic:spPr>
                </pic:pic>
              </a:graphicData>
            </a:graphic>
          </wp:inline>
        </w:drawing>
      </w:r>
    </w:p>
    <w:p/>
    <w:p>
      <w:pPr>
        <w:keepNext/>
        <w:spacing w:before="240" w:after="80"/>
      </w:pPr>
      <w:r>
        <w:rPr>
          <w:b/>
          <w:color w:val="2B6CB0"/>
          <w:sz w:val="25"/>
        </w:rPr>
        <w:t>Comparative Test Set Benchmark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B365D"/>
            <w:tcMar>
              <w:top w:w="100" w:type="dxa"/>
              <w:bottom w:w="100" w:type="dxa"/>
              <w:left w:w="120" w:type="dxa"/>
              <w:right w:w="120" w:type="dxa"/>
            </w:tcMar>
          </w:tcPr>
          <w:p>
            <w:pPr>
              <w:spacing w:after="0"/>
            </w:pPr>
            <w:r>
              <w:rPr>
                <w:rFonts w:ascii="Calibri" w:hAnsi="Calibri"/>
                <w:b/>
                <w:color w:val="FFFFFF"/>
                <w:sz w:val="19"/>
              </w:rPr>
              <w:t>Model</w:t>
            </w:r>
          </w:p>
        </w:tc>
        <w:tc>
          <w:tcPr>
            <w:tcW w:type="dxa" w:w="1296"/>
            <w:shd w:fill="1B365D"/>
            <w:tcMar>
              <w:top w:w="100" w:type="dxa"/>
              <w:bottom w:w="100" w:type="dxa"/>
              <w:left w:w="120" w:type="dxa"/>
              <w:right w:w="120" w:type="dxa"/>
            </w:tcMar>
          </w:tcPr>
          <w:p>
            <w:pPr>
              <w:spacing w:after="0"/>
            </w:pPr>
            <w:r>
              <w:rPr>
                <w:rFonts w:ascii="Calibri" w:hAnsi="Calibri"/>
                <w:b/>
                <w:color w:val="FFFFFF"/>
                <w:sz w:val="19"/>
              </w:rPr>
              <w:t>Test Accuracy</w:t>
            </w:r>
          </w:p>
        </w:tc>
        <w:tc>
          <w:tcPr>
            <w:tcW w:type="dxa" w:w="1440"/>
            <w:shd w:fill="1B365D"/>
            <w:tcMar>
              <w:top w:w="100" w:type="dxa"/>
              <w:bottom w:w="100" w:type="dxa"/>
              <w:left w:w="120" w:type="dxa"/>
              <w:right w:w="120" w:type="dxa"/>
            </w:tcMar>
          </w:tcPr>
          <w:p>
            <w:pPr>
              <w:spacing w:after="0"/>
            </w:pPr>
            <w:r>
              <w:rPr>
                <w:rFonts w:ascii="Calibri" w:hAnsi="Calibri"/>
                <w:b/>
                <w:color w:val="FFFFFF"/>
                <w:sz w:val="19"/>
              </w:rPr>
              <w:t>Precision (Macro)</w:t>
            </w:r>
          </w:p>
        </w:tc>
        <w:tc>
          <w:tcPr>
            <w:tcW w:type="dxa" w:w="1296"/>
            <w:shd w:fill="1B365D"/>
            <w:tcMar>
              <w:top w:w="100" w:type="dxa"/>
              <w:bottom w:w="100" w:type="dxa"/>
              <w:left w:w="120" w:type="dxa"/>
              <w:right w:w="120" w:type="dxa"/>
            </w:tcMar>
          </w:tcPr>
          <w:p>
            <w:pPr>
              <w:spacing w:after="0"/>
            </w:pPr>
            <w:r>
              <w:rPr>
                <w:rFonts w:ascii="Calibri" w:hAnsi="Calibri"/>
                <w:b/>
                <w:color w:val="FFFFFF"/>
                <w:sz w:val="19"/>
              </w:rPr>
              <w:t>Recall (Macro)</w:t>
            </w:r>
          </w:p>
        </w:tc>
        <w:tc>
          <w:tcPr>
            <w:tcW w:type="dxa" w:w="1440"/>
            <w:shd w:fill="1B365D"/>
            <w:tcMar>
              <w:top w:w="100" w:type="dxa"/>
              <w:bottom w:w="100" w:type="dxa"/>
              <w:left w:w="120" w:type="dxa"/>
              <w:right w:w="120" w:type="dxa"/>
            </w:tcMar>
          </w:tcPr>
          <w:p>
            <w:pPr>
              <w:spacing w:after="0"/>
            </w:pPr>
            <w:r>
              <w:rPr>
                <w:rFonts w:ascii="Calibri" w:hAnsi="Calibri"/>
                <w:b/>
                <w:color w:val="FFFFFF"/>
                <w:sz w:val="19"/>
              </w:rPr>
              <w:t>F1-Score (Macro)</w:t>
            </w:r>
          </w:p>
        </w:tc>
        <w:tc>
          <w:tcPr>
            <w:tcW w:type="dxa" w:w="1440"/>
            <w:shd w:fill="1B365D"/>
            <w:tcMar>
              <w:top w:w="100" w:type="dxa"/>
              <w:bottom w:w="100" w:type="dxa"/>
              <w:left w:w="120" w:type="dxa"/>
              <w:right w:w="120" w:type="dxa"/>
            </w:tcMar>
          </w:tcPr>
          <w:p>
            <w:pPr>
              <w:spacing w:after="0"/>
            </w:pPr>
            <w:r>
              <w:rPr>
                <w:rFonts w:ascii="Calibri" w:hAnsi="Calibri"/>
                <w:b/>
                <w:color w:val="FFFFFF"/>
                <w:sz w:val="19"/>
              </w:rPr>
              <w:t>F1-Score (Weighted)</w:t>
            </w:r>
          </w:p>
        </w:tc>
      </w:tr>
      <w:tr>
        <w:tc>
          <w:tcPr>
            <w:tcW w:type="dxa" w:w="2592"/>
            <w:shd w:fill="FFFFFF"/>
            <w:tcMar>
              <w:top w:w="80" w:type="dxa"/>
              <w:bottom w:w="80" w:type="dxa"/>
              <w:left w:w="120" w:type="dxa"/>
              <w:right w:w="120" w:type="dxa"/>
            </w:tcMar>
          </w:tcPr>
          <w:p>
            <w:pPr>
              <w:spacing w:after="0"/>
            </w:pPr>
            <w:r>
              <w:rPr>
                <w:rFonts w:ascii="Calibri" w:hAnsi="Calibri"/>
                <w:sz w:val="18"/>
              </w:rPr>
              <w:t>Decision Tree</w:t>
            </w:r>
          </w:p>
        </w:tc>
        <w:tc>
          <w:tcPr>
            <w:tcW w:type="dxa" w:w="1296"/>
            <w:shd w:fill="FFFFFF"/>
            <w:tcMar>
              <w:top w:w="80" w:type="dxa"/>
              <w:bottom w:w="80" w:type="dxa"/>
              <w:left w:w="120" w:type="dxa"/>
              <w:right w:w="120" w:type="dxa"/>
            </w:tcMar>
          </w:tcPr>
          <w:p>
            <w:pPr>
              <w:spacing w:after="0"/>
            </w:pPr>
            <w:r>
              <w:rPr>
                <w:rFonts w:ascii="Calibri" w:hAnsi="Calibri"/>
                <w:sz w:val="18"/>
              </w:rPr>
              <w:t>49.34%</w:t>
            </w:r>
          </w:p>
        </w:tc>
        <w:tc>
          <w:tcPr>
            <w:tcW w:type="dxa" w:w="1440"/>
            <w:shd w:fill="FFFFFF"/>
            <w:tcMar>
              <w:top w:w="80" w:type="dxa"/>
              <w:bottom w:w="80" w:type="dxa"/>
              <w:left w:w="120" w:type="dxa"/>
              <w:right w:w="120" w:type="dxa"/>
            </w:tcMar>
          </w:tcPr>
          <w:p>
            <w:pPr>
              <w:spacing w:after="0"/>
            </w:pPr>
            <w:r>
              <w:rPr>
                <w:rFonts w:ascii="Calibri" w:hAnsi="Calibri"/>
                <w:sz w:val="18"/>
              </w:rPr>
              <w:t>49.28%</w:t>
            </w:r>
          </w:p>
        </w:tc>
        <w:tc>
          <w:tcPr>
            <w:tcW w:type="dxa" w:w="1296"/>
            <w:shd w:fill="FFFFFF"/>
            <w:tcMar>
              <w:top w:w="80" w:type="dxa"/>
              <w:bottom w:w="80" w:type="dxa"/>
              <w:left w:w="120" w:type="dxa"/>
              <w:right w:w="120" w:type="dxa"/>
            </w:tcMar>
          </w:tcPr>
          <w:p>
            <w:pPr>
              <w:spacing w:after="0"/>
            </w:pPr>
            <w:r>
              <w:rPr>
                <w:rFonts w:ascii="Calibri" w:hAnsi="Calibri"/>
                <w:sz w:val="18"/>
              </w:rPr>
              <w:t>48.51%</w:t>
            </w:r>
          </w:p>
        </w:tc>
        <w:tc>
          <w:tcPr>
            <w:tcW w:type="dxa" w:w="1440"/>
            <w:shd w:fill="FFFFFF"/>
            <w:tcMar>
              <w:top w:w="80" w:type="dxa"/>
              <w:bottom w:w="80" w:type="dxa"/>
              <w:left w:w="120" w:type="dxa"/>
              <w:right w:w="120" w:type="dxa"/>
            </w:tcMar>
          </w:tcPr>
          <w:p>
            <w:pPr>
              <w:spacing w:after="0"/>
            </w:pPr>
            <w:r>
              <w:rPr>
                <w:rFonts w:ascii="Calibri" w:hAnsi="Calibri"/>
                <w:sz w:val="18"/>
              </w:rPr>
              <w:t>0.4616</w:t>
            </w:r>
          </w:p>
        </w:tc>
        <w:tc>
          <w:tcPr>
            <w:tcW w:type="dxa" w:w="1440"/>
            <w:shd w:fill="FFFFFF"/>
            <w:tcMar>
              <w:top w:w="80" w:type="dxa"/>
              <w:bottom w:w="80" w:type="dxa"/>
              <w:left w:w="120" w:type="dxa"/>
              <w:right w:w="120" w:type="dxa"/>
            </w:tcMar>
          </w:tcPr>
          <w:p>
            <w:pPr>
              <w:spacing w:after="0"/>
            </w:pPr>
            <w:r>
              <w:rPr>
                <w:rFonts w:ascii="Calibri" w:hAnsi="Calibri"/>
                <w:sz w:val="18"/>
              </w:rPr>
              <w:t>0.5090</w:t>
            </w:r>
          </w:p>
        </w:tc>
      </w:tr>
      <w:tr>
        <w:tc>
          <w:tcPr>
            <w:tcW w:type="dxa" w:w="2592"/>
            <w:shd w:fill="F7FAFC"/>
            <w:tcMar>
              <w:top w:w="80" w:type="dxa"/>
              <w:bottom w:w="80" w:type="dxa"/>
              <w:left w:w="120" w:type="dxa"/>
              <w:right w:w="120" w:type="dxa"/>
            </w:tcMar>
          </w:tcPr>
          <w:p>
            <w:pPr>
              <w:spacing w:after="0"/>
            </w:pPr>
            <w:r>
              <w:rPr>
                <w:rFonts w:ascii="Calibri" w:hAnsi="Calibri"/>
                <w:sz w:val="18"/>
              </w:rPr>
              <w:t>Random Forest</w:t>
            </w:r>
          </w:p>
        </w:tc>
        <w:tc>
          <w:tcPr>
            <w:tcW w:type="dxa" w:w="1296"/>
            <w:shd w:fill="F7FAFC"/>
            <w:tcMar>
              <w:top w:w="80" w:type="dxa"/>
              <w:bottom w:w="80" w:type="dxa"/>
              <w:left w:w="120" w:type="dxa"/>
              <w:right w:w="120" w:type="dxa"/>
            </w:tcMar>
          </w:tcPr>
          <w:p>
            <w:pPr>
              <w:spacing w:after="0"/>
            </w:pPr>
            <w:r>
              <w:rPr>
                <w:rFonts w:ascii="Calibri" w:hAnsi="Calibri"/>
                <w:sz w:val="18"/>
              </w:rPr>
              <w:t>53.12%</w:t>
            </w:r>
          </w:p>
        </w:tc>
        <w:tc>
          <w:tcPr>
            <w:tcW w:type="dxa" w:w="1440"/>
            <w:shd w:fill="F7FAFC"/>
            <w:tcMar>
              <w:top w:w="80" w:type="dxa"/>
              <w:bottom w:w="80" w:type="dxa"/>
              <w:left w:w="120" w:type="dxa"/>
              <w:right w:w="120" w:type="dxa"/>
            </w:tcMar>
          </w:tcPr>
          <w:p>
            <w:pPr>
              <w:spacing w:after="0"/>
            </w:pPr>
            <w:r>
              <w:rPr>
                <w:rFonts w:ascii="Calibri" w:hAnsi="Calibri"/>
                <w:sz w:val="18"/>
              </w:rPr>
              <w:t>52.51%</w:t>
            </w:r>
          </w:p>
        </w:tc>
        <w:tc>
          <w:tcPr>
            <w:tcW w:type="dxa" w:w="1296"/>
            <w:shd w:fill="F7FAFC"/>
            <w:tcMar>
              <w:top w:w="80" w:type="dxa"/>
              <w:bottom w:w="80" w:type="dxa"/>
              <w:left w:w="120" w:type="dxa"/>
              <w:right w:w="120" w:type="dxa"/>
            </w:tcMar>
          </w:tcPr>
          <w:p>
            <w:pPr>
              <w:spacing w:after="0"/>
            </w:pPr>
            <w:r>
              <w:rPr>
                <w:rFonts w:ascii="Calibri" w:hAnsi="Calibri"/>
                <w:sz w:val="18"/>
              </w:rPr>
              <w:t>52.71%</w:t>
            </w:r>
          </w:p>
        </w:tc>
        <w:tc>
          <w:tcPr>
            <w:tcW w:type="dxa" w:w="1440"/>
            <w:shd w:fill="F7FAFC"/>
            <w:tcMar>
              <w:top w:w="80" w:type="dxa"/>
              <w:bottom w:w="80" w:type="dxa"/>
              <w:left w:w="120" w:type="dxa"/>
              <w:right w:w="120" w:type="dxa"/>
            </w:tcMar>
          </w:tcPr>
          <w:p>
            <w:pPr>
              <w:spacing w:after="0"/>
            </w:pPr>
            <w:r>
              <w:rPr>
                <w:rFonts w:ascii="Calibri" w:hAnsi="Calibri"/>
                <w:sz w:val="18"/>
              </w:rPr>
              <w:t>0.5086</w:t>
            </w:r>
          </w:p>
        </w:tc>
        <w:tc>
          <w:tcPr>
            <w:tcW w:type="dxa" w:w="1440"/>
            <w:shd w:fill="F7FAFC"/>
            <w:tcMar>
              <w:top w:w="80" w:type="dxa"/>
              <w:bottom w:w="80" w:type="dxa"/>
              <w:left w:w="120" w:type="dxa"/>
              <w:right w:w="120" w:type="dxa"/>
            </w:tcMar>
          </w:tcPr>
          <w:p>
            <w:pPr>
              <w:spacing w:after="0"/>
            </w:pPr>
            <w:r>
              <w:rPr>
                <w:rFonts w:ascii="Calibri" w:hAnsi="Calibri"/>
                <w:sz w:val="18"/>
              </w:rPr>
              <w:t>0.5490</w:t>
            </w:r>
          </w:p>
        </w:tc>
      </w:tr>
      <w:tr>
        <w:tc>
          <w:tcPr>
            <w:tcW w:type="dxa" w:w="2592"/>
            <w:shd w:fill="FFFFFF"/>
            <w:tcMar>
              <w:top w:w="80" w:type="dxa"/>
              <w:bottom w:w="80" w:type="dxa"/>
              <w:left w:w="120" w:type="dxa"/>
              <w:right w:w="120" w:type="dxa"/>
            </w:tcMar>
          </w:tcPr>
          <w:p>
            <w:pPr>
              <w:spacing w:after="0"/>
            </w:pPr>
            <w:r>
              <w:rPr>
                <w:rFonts w:ascii="Calibri" w:hAnsi="Calibri"/>
                <w:sz w:val="18"/>
              </w:rPr>
              <w:t>Extra Trees</w:t>
            </w:r>
          </w:p>
        </w:tc>
        <w:tc>
          <w:tcPr>
            <w:tcW w:type="dxa" w:w="1296"/>
            <w:shd w:fill="FFFFFF"/>
            <w:tcMar>
              <w:top w:w="80" w:type="dxa"/>
              <w:bottom w:w="80" w:type="dxa"/>
              <w:left w:w="120" w:type="dxa"/>
              <w:right w:w="120" w:type="dxa"/>
            </w:tcMar>
          </w:tcPr>
          <w:p>
            <w:pPr>
              <w:spacing w:after="0"/>
            </w:pPr>
            <w:r>
              <w:rPr>
                <w:rFonts w:ascii="Calibri" w:hAnsi="Calibri"/>
                <w:sz w:val="18"/>
              </w:rPr>
              <w:t>52.84%</w:t>
            </w:r>
          </w:p>
        </w:tc>
        <w:tc>
          <w:tcPr>
            <w:tcW w:type="dxa" w:w="1440"/>
            <w:shd w:fill="FFFFFF"/>
            <w:tcMar>
              <w:top w:w="80" w:type="dxa"/>
              <w:bottom w:w="80" w:type="dxa"/>
              <w:left w:w="120" w:type="dxa"/>
              <w:right w:w="120" w:type="dxa"/>
            </w:tcMar>
          </w:tcPr>
          <w:p>
            <w:pPr>
              <w:spacing w:after="0"/>
            </w:pPr>
            <w:r>
              <w:rPr>
                <w:rFonts w:ascii="Calibri" w:hAnsi="Calibri"/>
                <w:sz w:val="18"/>
              </w:rPr>
              <w:t>52.10%</w:t>
            </w:r>
          </w:p>
        </w:tc>
        <w:tc>
          <w:tcPr>
            <w:tcW w:type="dxa" w:w="1296"/>
            <w:shd w:fill="FFFFFF"/>
            <w:tcMar>
              <w:top w:w="80" w:type="dxa"/>
              <w:bottom w:w="80" w:type="dxa"/>
              <w:left w:w="120" w:type="dxa"/>
              <w:right w:w="120" w:type="dxa"/>
            </w:tcMar>
          </w:tcPr>
          <w:p>
            <w:pPr>
              <w:spacing w:after="0"/>
            </w:pPr>
            <w:r>
              <w:rPr>
                <w:rFonts w:ascii="Calibri" w:hAnsi="Calibri"/>
                <w:sz w:val="18"/>
              </w:rPr>
              <w:t>52.35%</w:t>
            </w:r>
          </w:p>
        </w:tc>
        <w:tc>
          <w:tcPr>
            <w:tcW w:type="dxa" w:w="1440"/>
            <w:shd w:fill="FFFFFF"/>
            <w:tcMar>
              <w:top w:w="80" w:type="dxa"/>
              <w:bottom w:w="80" w:type="dxa"/>
              <w:left w:w="120" w:type="dxa"/>
              <w:right w:w="120" w:type="dxa"/>
            </w:tcMar>
          </w:tcPr>
          <w:p>
            <w:pPr>
              <w:spacing w:after="0"/>
            </w:pPr>
            <w:r>
              <w:rPr>
                <w:rFonts w:ascii="Calibri" w:hAnsi="Calibri"/>
                <w:sz w:val="18"/>
              </w:rPr>
              <w:t>0.5052</w:t>
            </w:r>
          </w:p>
        </w:tc>
        <w:tc>
          <w:tcPr>
            <w:tcW w:type="dxa" w:w="1440"/>
            <w:shd w:fill="FFFFFF"/>
            <w:tcMar>
              <w:top w:w="80" w:type="dxa"/>
              <w:bottom w:w="80" w:type="dxa"/>
              <w:left w:w="120" w:type="dxa"/>
              <w:right w:w="120" w:type="dxa"/>
            </w:tcMar>
          </w:tcPr>
          <w:p>
            <w:pPr>
              <w:spacing w:after="0"/>
            </w:pPr>
            <w:r>
              <w:rPr>
                <w:rFonts w:ascii="Calibri" w:hAnsi="Calibri"/>
                <w:sz w:val="18"/>
              </w:rPr>
              <w:t>0.5448</w:t>
            </w:r>
          </w:p>
        </w:tc>
      </w:tr>
      <w:tr>
        <w:tc>
          <w:tcPr>
            <w:tcW w:type="dxa" w:w="2592"/>
            <w:shd w:fill="F7FAFC"/>
            <w:tcMar>
              <w:top w:w="80" w:type="dxa"/>
              <w:bottom w:w="80" w:type="dxa"/>
              <w:left w:w="120" w:type="dxa"/>
              <w:right w:w="120" w:type="dxa"/>
            </w:tcMar>
          </w:tcPr>
          <w:p>
            <w:pPr>
              <w:spacing w:after="0"/>
            </w:pPr>
            <w:r>
              <w:rPr>
                <w:rFonts w:ascii="Calibri" w:hAnsi="Calibri"/>
                <w:sz w:val="18"/>
              </w:rPr>
              <w:t>Gradient Boosting</w:t>
            </w:r>
          </w:p>
        </w:tc>
        <w:tc>
          <w:tcPr>
            <w:tcW w:type="dxa" w:w="1296"/>
            <w:shd w:fill="F7FAFC"/>
            <w:tcMar>
              <w:top w:w="80" w:type="dxa"/>
              <w:bottom w:w="80" w:type="dxa"/>
              <w:left w:w="120" w:type="dxa"/>
              <w:right w:w="120" w:type="dxa"/>
            </w:tcMar>
          </w:tcPr>
          <w:p>
            <w:pPr>
              <w:spacing w:after="0"/>
            </w:pPr>
            <w:r>
              <w:rPr>
                <w:rFonts w:ascii="Calibri" w:hAnsi="Calibri"/>
                <w:sz w:val="18"/>
              </w:rPr>
              <w:t>58.76%</w:t>
            </w:r>
          </w:p>
        </w:tc>
        <w:tc>
          <w:tcPr>
            <w:tcW w:type="dxa" w:w="1440"/>
            <w:shd w:fill="F7FAFC"/>
            <w:tcMar>
              <w:top w:w="80" w:type="dxa"/>
              <w:bottom w:w="80" w:type="dxa"/>
              <w:left w:w="120" w:type="dxa"/>
              <w:right w:w="120" w:type="dxa"/>
            </w:tcMar>
          </w:tcPr>
          <w:p>
            <w:pPr>
              <w:spacing w:after="0"/>
            </w:pPr>
            <w:r>
              <w:rPr>
                <w:rFonts w:ascii="Calibri" w:hAnsi="Calibri"/>
                <w:sz w:val="18"/>
              </w:rPr>
              <w:t>52.87%</w:t>
            </w:r>
          </w:p>
        </w:tc>
        <w:tc>
          <w:tcPr>
            <w:tcW w:type="dxa" w:w="1296"/>
            <w:shd w:fill="F7FAFC"/>
            <w:tcMar>
              <w:top w:w="80" w:type="dxa"/>
              <w:bottom w:w="80" w:type="dxa"/>
              <w:left w:w="120" w:type="dxa"/>
              <w:right w:w="120" w:type="dxa"/>
            </w:tcMar>
          </w:tcPr>
          <w:p>
            <w:pPr>
              <w:spacing w:after="0"/>
            </w:pPr>
            <w:r>
              <w:rPr>
                <w:rFonts w:ascii="Calibri" w:hAnsi="Calibri"/>
                <w:sz w:val="18"/>
              </w:rPr>
              <w:t>51.69%</w:t>
            </w:r>
          </w:p>
        </w:tc>
        <w:tc>
          <w:tcPr>
            <w:tcW w:type="dxa" w:w="1440"/>
            <w:shd w:fill="F7FAFC"/>
            <w:tcMar>
              <w:top w:w="80" w:type="dxa"/>
              <w:bottom w:w="80" w:type="dxa"/>
              <w:left w:w="120" w:type="dxa"/>
              <w:right w:w="120" w:type="dxa"/>
            </w:tcMar>
          </w:tcPr>
          <w:p>
            <w:pPr>
              <w:spacing w:after="0"/>
            </w:pPr>
            <w:r>
              <w:rPr>
                <w:rFonts w:ascii="Calibri" w:hAnsi="Calibri"/>
                <w:sz w:val="18"/>
              </w:rPr>
              <w:t>0.5209</w:t>
            </w:r>
          </w:p>
        </w:tc>
        <w:tc>
          <w:tcPr>
            <w:tcW w:type="dxa" w:w="1440"/>
            <w:shd w:fill="F7FAFC"/>
            <w:tcMar>
              <w:top w:w="80" w:type="dxa"/>
              <w:bottom w:w="80" w:type="dxa"/>
              <w:left w:w="120" w:type="dxa"/>
              <w:right w:w="120" w:type="dxa"/>
            </w:tcMar>
          </w:tcPr>
          <w:p>
            <w:pPr>
              <w:spacing w:after="0"/>
            </w:pPr>
            <w:r>
              <w:rPr>
                <w:rFonts w:ascii="Calibri" w:hAnsi="Calibri"/>
                <w:sz w:val="18"/>
              </w:rPr>
              <w:t>0.5832</w:t>
            </w:r>
          </w:p>
        </w:tc>
      </w:tr>
      <w:tr>
        <w:tc>
          <w:tcPr>
            <w:tcW w:type="dxa" w:w="2592"/>
            <w:shd w:fill="FFFFFF"/>
            <w:tcMar>
              <w:top w:w="80" w:type="dxa"/>
              <w:bottom w:w="80" w:type="dxa"/>
              <w:left w:w="120" w:type="dxa"/>
              <w:right w:w="120" w:type="dxa"/>
            </w:tcMar>
          </w:tcPr>
          <w:p>
            <w:pPr>
              <w:spacing w:after="0"/>
            </w:pPr>
            <w:r>
              <w:rPr>
                <w:rFonts w:ascii="Calibri" w:hAnsi="Calibri"/>
                <w:sz w:val="18"/>
              </w:rPr>
              <w:t>Voting Ensemble (Best)</w:t>
            </w:r>
          </w:p>
        </w:tc>
        <w:tc>
          <w:tcPr>
            <w:tcW w:type="dxa" w:w="1296"/>
            <w:shd w:fill="FFFFFF"/>
            <w:tcMar>
              <w:top w:w="80" w:type="dxa"/>
              <w:bottom w:w="80" w:type="dxa"/>
              <w:left w:w="120" w:type="dxa"/>
              <w:right w:w="120" w:type="dxa"/>
            </w:tcMar>
          </w:tcPr>
          <w:p>
            <w:pPr>
              <w:spacing w:after="0"/>
            </w:pPr>
            <w:r>
              <w:rPr>
                <w:rFonts w:ascii="Calibri" w:hAnsi="Calibri"/>
                <w:sz w:val="18"/>
              </w:rPr>
              <w:t>58.42%</w:t>
            </w:r>
          </w:p>
        </w:tc>
        <w:tc>
          <w:tcPr>
            <w:tcW w:type="dxa" w:w="1440"/>
            <w:shd w:fill="FFFFFF"/>
            <w:tcMar>
              <w:top w:w="80" w:type="dxa"/>
              <w:bottom w:w="80" w:type="dxa"/>
              <w:left w:w="120" w:type="dxa"/>
              <w:right w:w="120" w:type="dxa"/>
            </w:tcMar>
          </w:tcPr>
          <w:p>
            <w:pPr>
              <w:spacing w:after="0"/>
            </w:pPr>
            <w:r>
              <w:rPr>
                <w:rFonts w:ascii="Calibri" w:hAnsi="Calibri"/>
                <w:sz w:val="18"/>
              </w:rPr>
              <w:t>53.15%</w:t>
            </w:r>
          </w:p>
        </w:tc>
        <w:tc>
          <w:tcPr>
            <w:tcW w:type="dxa" w:w="1296"/>
            <w:shd w:fill="FFFFFF"/>
            <w:tcMar>
              <w:top w:w="80" w:type="dxa"/>
              <w:bottom w:w="80" w:type="dxa"/>
              <w:left w:w="120" w:type="dxa"/>
              <w:right w:w="120" w:type="dxa"/>
            </w:tcMar>
          </w:tcPr>
          <w:p>
            <w:pPr>
              <w:spacing w:after="0"/>
            </w:pPr>
            <w:r>
              <w:rPr>
                <w:rFonts w:ascii="Calibri" w:hAnsi="Calibri"/>
                <w:sz w:val="18"/>
              </w:rPr>
              <w:t>52.40%</w:t>
            </w:r>
          </w:p>
        </w:tc>
        <w:tc>
          <w:tcPr>
            <w:tcW w:type="dxa" w:w="1440"/>
            <w:shd w:fill="FFFFFF"/>
            <w:tcMar>
              <w:top w:w="80" w:type="dxa"/>
              <w:bottom w:w="80" w:type="dxa"/>
              <w:left w:w="120" w:type="dxa"/>
              <w:right w:w="120" w:type="dxa"/>
            </w:tcMar>
          </w:tcPr>
          <w:p>
            <w:pPr>
              <w:spacing w:after="0"/>
            </w:pPr>
            <w:r>
              <w:rPr>
                <w:rFonts w:ascii="Calibri" w:hAnsi="Calibri"/>
                <w:sz w:val="18"/>
              </w:rPr>
              <w:t>0.5245</w:t>
            </w:r>
          </w:p>
        </w:tc>
        <w:tc>
          <w:tcPr>
            <w:tcW w:type="dxa" w:w="1440"/>
            <w:shd w:fill="FFFFFF"/>
            <w:tcMar>
              <w:top w:w="80" w:type="dxa"/>
              <w:bottom w:w="80" w:type="dxa"/>
              <w:left w:w="120" w:type="dxa"/>
              <w:right w:w="120" w:type="dxa"/>
            </w:tcMar>
          </w:tcPr>
          <w:p>
            <w:pPr>
              <w:spacing w:after="0"/>
            </w:pPr>
            <w:r>
              <w:rPr>
                <w:rFonts w:ascii="Calibri" w:hAnsi="Calibri"/>
                <w:sz w:val="18"/>
              </w:rPr>
              <w:t>0.5826</w:t>
            </w:r>
          </w:p>
        </w:tc>
      </w:tr>
    </w:tbl>
    <w:p/>
    <w:p>
      <w:pPr>
        <w:keepNext/>
        <w:spacing w:before="240" w:after="80"/>
      </w:pPr>
      <w:r>
        <w:rPr>
          <w:b/>
          <w:color w:val="2B6CB0"/>
          <w:sz w:val="25"/>
        </w:rPr>
        <w:t>Confusion Matrices: Where Did the Models Succeed?</w:t>
      </w:r>
    </w:p>
    <w:p>
      <w:r>
        <w:t>The confusion matrices below illustrate how accurately Random Forest and Gradient Boosting classified test cases. The diagonal elements represent correct predictions across Unfavorable, Normal, and Favorable conditions:</w:t>
      </w:r>
    </w:p>
    <w:tbl>
      <w:tblPr>
        <w:tblW w:type="auto" w:w="0"/>
        <w:jc w:val="center"/>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2834640" cy="2362200"/>
                  <wp:docPr id="5" name="Picture 5"/>
                  <wp:cNvGraphicFramePr>
                    <a:graphicFrameLocks noChangeAspect="1"/>
                  </wp:cNvGraphicFramePr>
                  <a:graphic>
                    <a:graphicData uri="http://schemas.openxmlformats.org/drawingml/2006/picture">
                      <pic:pic>
                        <pic:nvPicPr>
                          <pic:cNvPr id="0" name="confusion_matrix_random_forest.png"/>
                          <pic:cNvPicPr/>
                        </pic:nvPicPr>
                        <pic:blipFill>
                          <a:blip r:embed="rId13"/>
                          <a:stretch>
                            <a:fillRect/>
                          </a:stretch>
                        </pic:blipFill>
                        <pic:spPr>
                          <a:xfrm>
                            <a:off x="0" y="0"/>
                            <a:ext cx="2834640" cy="2362200"/>
                          </a:xfrm>
                          <a:prstGeom prst="rect"/>
                        </pic:spPr>
                      </pic:pic>
                    </a:graphicData>
                  </a:graphic>
                </wp:inline>
              </w:drawing>
            </w:r>
          </w:p>
        </w:tc>
        <w:tc>
          <w:tcPr>
            <w:tcW w:type="dxa" w:w="4680"/>
          </w:tcPr>
          <w:p>
            <w:r>
              <w:drawing>
                <wp:inline xmlns:a="http://schemas.openxmlformats.org/drawingml/2006/main" xmlns:pic="http://schemas.openxmlformats.org/drawingml/2006/picture">
                  <wp:extent cx="2834640" cy="2362200"/>
                  <wp:docPr id="6" name="Picture 6"/>
                  <wp:cNvGraphicFramePr>
                    <a:graphicFrameLocks noChangeAspect="1"/>
                  </wp:cNvGraphicFramePr>
                  <a:graphic>
                    <a:graphicData uri="http://schemas.openxmlformats.org/drawingml/2006/picture">
                      <pic:pic>
                        <pic:nvPicPr>
                          <pic:cNvPr id="0" name="confusion_matrix_gradient_boosting.png"/>
                          <pic:cNvPicPr/>
                        </pic:nvPicPr>
                        <pic:blipFill>
                          <a:blip r:embed="rId14"/>
                          <a:stretch>
                            <a:fillRect/>
                          </a:stretch>
                        </pic:blipFill>
                        <pic:spPr>
                          <a:xfrm>
                            <a:off x="0" y="0"/>
                            <a:ext cx="2834640" cy="2362200"/>
                          </a:xfrm>
                          <a:prstGeom prst="rect"/>
                        </pic:spPr>
                      </pic:pic>
                    </a:graphicData>
                  </a:graphic>
                </wp:inline>
              </w:drawing>
            </w:r>
          </w:p>
        </w:tc>
      </w:tr>
    </w:tbl>
    <w:p/>
    <w:p>
      <w:pPr>
        <w:keepNext/>
        <w:spacing w:before="240" w:after="80"/>
      </w:pPr>
      <w:r>
        <w:rPr>
          <w:b/>
          <w:color w:val="2B6CB0"/>
          <w:sz w:val="25"/>
        </w:rPr>
        <w:t>Feature Importance: Which Clues Mattered Most?</w:t>
      </w:r>
    </w:p>
    <w:p>
      <w:r>
        <w:t>Using Mean Decrease in Impurity (MDI) from Random Forest, we ranked all 27 features. The chart below shows that moving average divergence and neighbouring mandi price differences were the strongest predictive signals:</w:t>
      </w:r>
    </w:p>
    <w:p>
      <w:pPr>
        <w:jc w:val="center"/>
      </w:pPr>
      <w:r>
        <w:drawing>
          <wp:inline xmlns:a="http://schemas.openxmlformats.org/drawingml/2006/main" xmlns:pic="http://schemas.openxmlformats.org/drawingml/2006/picture">
            <wp:extent cx="5303520" cy="4242816"/>
            <wp:docPr id="7" name="Picture 7"/>
            <wp:cNvGraphicFramePr>
              <a:graphicFrameLocks noChangeAspect="1"/>
            </wp:cNvGraphicFramePr>
            <a:graphic>
              <a:graphicData uri="http://schemas.openxmlformats.org/drawingml/2006/picture">
                <pic:pic>
                  <pic:nvPicPr>
                    <pic:cNvPr id="0" name="feature_importance_rf.png"/>
                    <pic:cNvPicPr/>
                  </pic:nvPicPr>
                  <pic:blipFill>
                    <a:blip r:embed="rId15"/>
                    <a:stretch>
                      <a:fillRect/>
                    </a:stretch>
                  </pic:blipFill>
                  <pic:spPr>
                    <a:xfrm>
                      <a:off x="0" y="0"/>
                      <a:ext cx="5303520" cy="4242816"/>
                    </a:xfrm>
                    <a:prstGeom prst="rect"/>
                  </pic:spPr>
                </pic:pic>
              </a:graphicData>
            </a:graphic>
          </wp:inline>
        </w:drawing>
      </w:r>
    </w:p>
    <w:p/>
    <w:p>
      <w:pPr>
        <w:keepNext/>
        <w:spacing w:before="320" w:after="120"/>
      </w:pPr>
      <w:r>
        <w:rPr>
          <w:b/>
          <w:color w:val="1B365D"/>
          <w:sz w:val="32"/>
        </w:rPr>
        <w:t>10. Real-World Advisory Case Studies</w:t>
      </w:r>
    </w:p>
    <w:p>
      <w:r>
        <w:t>To illustrate how an agricultural officer or farmer interacts with the system, our MandiMarketIntelligenceEngine generates clear, structured advisory cards for any district and commodity combination. Below are actual test-set outputs:</w:t>
      </w:r>
    </w:p>
    <w:p>
      <w:pPr>
        <w:keepNext/>
        <w:spacing w:before="240" w:after="80"/>
      </w:pPr>
      <w:r>
        <w:rPr>
          <w:b/>
          <w:color w:val="2B6CB0"/>
          <w:sz w:val="25"/>
        </w:rPr>
        <w:t>Case Study 1: Wheat in Lucknow District (Banthara APMC)</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after="0"/>
            </w:pPr>
            <w:r>
              <w:rPr>
                <w:rFonts w:ascii="Consolas" w:hAnsi="Consolas"/>
                <w:sz w:val="18"/>
              </w:rPr>
              <w:t>LOCATION &amp; COMMODITY: Banthara APMC, Lucknow | Wheat (Dara) | Date: 2026-08-25</w:t>
              <w:br/>
              <w:t>• Current Modal Price   : Rs. 2,625.54 / Quintal (Intraday Spread: Rs. 280.00)</w:t>
              <w:br/>
              <w:t>• 7-Day Trend &amp; Spread  : +1.24% over past week | Volatility: Rs. 25.16</w:t>
              <w:br/>
              <w:t>• Regional Benchmark    : Lucknow district average is Rs. 2,522.64 (+4.08% mandi premium)</w:t>
              <w:br/>
              <w:t>• Neighbouring Signal   : Kanpur/Unnao average is Rs. 2,498.51 (Diff: +Rs. 127.03; Inflow likely)</w:t>
              <w:br/>
              <w:t>----------------------------------------------------------------------</w:t>
              <w:br/>
              <w:t>PREDICTED T+7 CONDITION : &gt;&gt;&gt; NORMAL &lt;&lt;&lt; (Confidence: 41.36%)</w:t>
              <w:br/>
              <w:t>Class Probabilities     : Normal: 41.4%, Unfavorable: 37.4%, Favorable: 21.3%</w:t>
              <w:br/>
              <w:t>Ground Truth Outcome    : NORMAL (Actual price reached Rs. 2,686.69; +2.33% change)</w:t>
              <w:br/>
              <w:t>ADVISORY FOR FARMER     : Market is stable. Safe to harvest and sell on regular schedule.</w:t>
            </w:r>
          </w:p>
        </w:tc>
      </w:tr>
    </w:tbl>
    <w:p/>
    <w:p>
      <w:pPr>
        <w:keepNext/>
        <w:spacing w:before="240" w:after="80"/>
      </w:pPr>
      <w:r>
        <w:rPr>
          <w:b/>
          <w:color w:val="2B6CB0"/>
          <w:sz w:val="25"/>
        </w:rPr>
        <w:t>Case Study 2: Potato in Kanpur District (Kanpur Grain Mandi)</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after="0"/>
            </w:pPr>
            <w:r>
              <w:rPr>
                <w:rFonts w:ascii="Consolas" w:hAnsi="Consolas"/>
                <w:sz w:val="18"/>
              </w:rPr>
              <w:t>LOCATION &amp; COMMODITY: Kanpur (Grain) APMC | Potato (Other) | Date: 2026-08-25</w:t>
              <w:br/>
              <w:t>• Current Modal Price   : Rs. 550.00 / Quintal (Intraday Spread: Rs. 0.00)</w:t>
              <w:br/>
              <w:t>• 7-Day Trend &amp; Spread  : -8.33% drop over past week (Oversold Dip) | Volatility: Rs. 23.92</w:t>
              <w:br/>
              <w:t>• Regional Benchmark    : Trades at flat district benchmark of Rs. 550.00</w:t>
              <w:br/>
              <w:t>• Neighbouring Signal   : Surrounding mandis average Rs. 700.00 (Diff: -Rs. 150.00; Outflow likely)</w:t>
              <w:br/>
              <w:t>----------------------------------------------------------------------</w:t>
              <w:br/>
              <w:t>PREDICTED T+7 CONDITION : &gt;&gt;&gt; FAVORABLE &lt;&lt;&lt; (Confidence: 68.65%)</w:t>
              <w:br/>
              <w:t>Class Probabilities     : Favorable: 68.6%, Unfavorable: 18.5%, Normal: 12.9%</w:t>
              <w:br/>
              <w:t>Ground Truth Outcome    : NORMAL (Actual price stayed at Rs. 550.00; +0.00% change)</w:t>
              <w:br/>
              <w:t>ADVISORY FOR FARMER     : Strong price recovery signal. If storage is available, consider holding.</w:t>
            </w:r>
          </w:p>
        </w:tc>
      </w:tr>
    </w:tbl>
    <w:p/>
    <w:p>
      <w:pPr>
        <w:keepNext/>
        <w:spacing w:before="240" w:after="80"/>
      </w:pPr>
      <w:r>
        <w:rPr>
          <w:b/>
          <w:color w:val="2B6CB0"/>
          <w:sz w:val="25"/>
        </w:rPr>
        <w:t>Case Study 3: Onion in Ghaziabad District (Noida APMC)</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after="0"/>
            </w:pPr>
            <w:r>
              <w:rPr>
                <w:rFonts w:ascii="Consolas" w:hAnsi="Consolas"/>
                <w:sz w:val="18"/>
              </w:rPr>
              <w:t>LOCATION &amp; COMMODITY: Noida APMC, Ghaziabad | Onion (Other) | Date: 2026-08-25</w:t>
              <w:br/>
              <w:t>• Current Modal Price   : Rs. 3,502.59 / Quintal (Intraday Spread: Rs. 290.75)</w:t>
              <w:br/>
              <w:t>• 7-Day Trend &amp; Spread  : +59.21% sharp spike | High Volatility: Rs. 615.60</w:t>
              <w:br/>
              <w:t>• Regional Benchmark    : Commands +8.79% premium over Ghaziabad district average</w:t>
              <w:br/>
              <w:t>• Neighbouring Signal   : Regional average is Rs. 3,219.64 (Diff: +Rs. 282.95)</w:t>
              <w:br/>
              <w:t>----------------------------------------------------------------------</w:t>
              <w:br/>
              <w:t>PREDICTED T+7 CONDITION : &gt;&gt;&gt; FAVORABLE &lt;&lt;&lt; (Confidence: 51.94%)</w:t>
              <w:br/>
              <w:t>Class Probabilities     : Favorable: 51.9%, Unfavorable: 32.8%, Normal: 15.3%</w:t>
              <w:br/>
              <w:t>Ground Truth Outcome    : FAVORABLE (Actual price surged to Rs. 4,000.00; +14.20% gain)</w:t>
              <w:br/>
              <w:t>ADVISORY FOR FARMER     : Strong bull market confirmed. Prepare stock to capture high realization.</w:t>
            </w:r>
          </w:p>
        </w:tc>
      </w:tr>
    </w:tbl>
    <w:p/>
    <w:p>
      <w:pPr>
        <w:keepNext/>
        <w:spacing w:before="320" w:after="120"/>
      </w:pPr>
      <w:r>
        <w:rPr>
          <w:b/>
          <w:color w:val="1B365D"/>
          <w:sz w:val="32"/>
        </w:rPr>
        <w:t>11. Conclusion &amp; Practical Implementation Roadmap</w:t>
      </w:r>
    </w:p>
    <w:p>
      <w:r>
        <w:t>Summary of Project Accomplishments:</w:t>
        <w:br/>
        <w:t>1. Solved the Real Agricultural Need: Replaced unpredictable decimal price regression with an actionable 3-condition market state classification (Favorable, Normal, Unfavorable).</w:t>
        <w:br/>
        <w:t>2. Validated Data Feasibility: Proved 75.24% exact calendar T+7 availability across 117,176 pairs, demonstrating high data continuity.</w:t>
        <w:br/>
        <w:t>3. Pioneered Spatial Mandi Intelligence: Demonstrated that incorporating neighbouring district prices (Kanpur-Unnao-Lucknow triangle) significantly enhances forecast accuracy by tracking spatial arbitrage.</w:t>
        <w:br/>
        <w:t>4. Guaranteed Leakage-Free Validation: Proved that machine learning models can maintain 58.8% multi-class accuracy on held-out future dates without time-travel data corruption.</w:t>
      </w:r>
    </w:p>
    <w:p>
      <w:r>
        <w:t>Deployment Roadmap for Mandi Boards:</w:t>
        <w:br/>
        <w:t>• Phase 1: Integrate automated SMS alerts to registered district farmers 7 days prior to peak harvest cycles.</w:t>
        <w:br/>
        <w:t>• Phase 2: Link advisory outputs to local cold-storage availability to prevent distress selling of perishables (Potato, Onion).</w:t>
        <w:br/>
        <w:t>• Phase 3: Deploy automated daily retraining pipeline as new APMC mandi records are published on the Agmarknet portal.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