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pPr>
        <w:jc w:val="center"/>
      </w:pPr>
      <w:r>
        <w:rPr>
          <w:b/>
          <w:i w:val="0"/>
          <w:color w:val="0B3D7B"/>
          <w:sz w:val="28"/>
        </w:rPr>
        <w:t>GOVERNMENT OF INDIA</w:t>
      </w:r>
    </w:p>
    <w:p>
      <w:pPr>
        <w:jc w:val="center"/>
      </w:pPr>
      <w:r>
        <w:rPr>
          <w:b w:val="0"/>
          <w:i w:val="0"/>
          <w:color w:val="55606B"/>
          <w:sz w:val="22"/>
        </w:rPr>
        <w:t>Ministry of Health &amp; Family Welfare · Directorate General of Health Services</w:t>
      </w:r>
    </w:p>
    <w:p>
      <w:pPr>
        <w:jc w:val="center"/>
      </w:pPr>
      <w:r>
        <w:rPr>
          <w:b/>
          <w:i w:val="0"/>
          <w:color w:val="0B3D7B"/>
          <w:sz w:val="26"/>
        </w:rPr>
        <w:t>Central Drugs Standard Control Organization (CDSCO)</w:t>
      </w:r>
    </w:p>
    <w:p>
      <w:r>
        <w:br/>
        <w:br/>
      </w:r>
    </w:p>
    <w:p>
      <w:pPr>
        <w:jc w:val="center"/>
      </w:pPr>
      <w:r>
        <w:rPr>
          <w:b/>
          <w:i w:val="0"/>
          <w:color w:val="0B3D7B"/>
          <w:sz w:val="46"/>
        </w:rPr>
        <w:t>DIGITAL DRUGS REGULATORY SYSTEM (DDRS)</w:t>
      </w:r>
    </w:p>
    <w:p>
      <w:pPr>
        <w:jc w:val="center"/>
      </w:pPr>
      <w:r>
        <w:rPr>
          <w:b/>
          <w:i w:val="0"/>
          <w:color w:val="C06010"/>
          <w:sz w:val="36"/>
        </w:rPr>
        <w:t>Intelligent Systems Architecture &amp; Regulatory Use Cases</w:t>
      </w:r>
    </w:p>
    <w:p>
      <w:pPr>
        <w:jc w:val="center"/>
      </w:pPr>
      <w:r>
        <w:rPr>
          <w:b w:val="0"/>
          <w:i w:val="0"/>
          <w:color w:val="55606B"/>
          <w:sz w:val="24"/>
        </w:rPr>
        <w:t>AI-Ready Design and Applied AI for Drug Regulation</w:t>
      </w:r>
    </w:p>
    <w:p>
      <w:r>
        <w:br/>
        <w:br/>
        <w:br/>
      </w:r>
    </w:p>
    <w:p>
      <w:pPr>
        <w:jc w:val="center"/>
      </w:pPr>
      <w:r>
        <w:rPr>
          <w:b/>
          <w:i w:val="0"/>
          <w:sz w:val="24"/>
        </w:rPr>
        <w:t>Document Version 1.0</w:t>
      </w:r>
    </w:p>
    <w:p>
      <w:pPr>
        <w:jc w:val="center"/>
      </w:pPr>
      <w:r>
        <w:rPr>
          <w:b w:val="0"/>
          <w:i w:val="0"/>
          <w:color w:val="55606B"/>
          <w:sz w:val="22"/>
        </w:rPr>
        <w:t>Date: 31 May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fldSimple w:instr="TOC \o &quot;1-3&quot; \h \z \u">
        <w:r>
          <w:t>Right-click and "Update Field" to build the Table of Contents.</w:t>
        </w:r>
      </w:fldSimple>
    </w:p>
    <w:p>
      <w:r>
        <w:br w:type="page"/>
      </w:r>
    </w:p>
    <w:p>
      <w:pPr>
        <w:pStyle w:val="Heading1"/>
      </w:pPr>
      <w:r>
        <w:t>1. Introduction</w:t>
      </w:r>
    </w:p>
    <w:p>
      <w:r>
        <w:rPr>
          <w:b w:val="0"/>
          <w:i w:val="0"/>
        </w:rPr>
        <w:t>AI-enabled capabilities are envisaged to enhance the efficiency, accuracy and responsiveness of DDRS. Per the programme’s provisional AI scope, AI models and agentic capabilities are developed separately; DDRS’s responsibility is to be architected as AI-ready so externally developed AI can be integrated without re-engineering the core. This document describes that intelligent-systems architecture and the regulatory AI use cases it enables.</w:t>
      </w:r>
    </w:p>
    <w:p>
      <w:pPr>
        <w:pStyle w:val="ListBullet"/>
        <w:ind w:left="432"/>
      </w:pPr>
      <w:r>
        <w:t>All platform services exposed via standardised, versioned, documented APIs.</w:t>
      </w:r>
    </w:p>
    <w:p>
      <w:pPr>
        <w:pStyle w:val="ListBullet"/>
        <w:ind w:left="432"/>
      </w:pPr>
      <w:r>
        <w:t>Architecture supports plug-in integration of external AI microservices and agents.</w:t>
      </w:r>
    </w:p>
    <w:p>
      <w:pPr>
        <w:pStyle w:val="ListBullet"/>
        <w:ind w:left="432"/>
      </w:pPr>
      <w:r>
        <w:t>Infrastructure accounts for future AI inference and orchestration workloads.</w:t>
      </w:r>
    </w:p>
    <w:p>
      <w:pPr>
        <w:pStyle w:val="ListBullet"/>
        <w:ind w:left="432"/>
      </w:pPr>
      <w:r>
        <w:t>Data models, schemas and workflows documented for AI training and agent onboarding.</w:t>
      </w:r>
    </w:p>
    <w:p>
      <w:r>
        <w:br w:type="page"/>
      </w:r>
    </w:p>
    <w:p>
      <w:pPr>
        <w:pStyle w:val="Heading1"/>
      </w:pPr>
      <w:r>
        <w:t>2. AI-Ready Reference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8041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041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606B"/>
          <w:sz w:val="18"/>
        </w:rPr>
        <w:t>Figure — AI-ready architecture (plug-in intelligence).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0b3d7b"/>
          </w:tcPr>
          <w:p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4320"/>
            <w:shd w:val="clear" w:fill="0b3d7b"/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DDRS OpenAPI surface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Single, versioned contract over all modules and data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AI Gateway / Orchestration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Routes requests to AI services; hosts agents (Model Context Protocol)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AI microservices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RAG assistant, summarisation, classification, comparison, etc.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Vector store / knowledge index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Embeddings of guidelines, dossiers, SOPs for retrieval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Model registry &amp; MLOps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Versioning, deployment, monitoring, evaluation of models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Governance &amp; guardrails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PII protection, human-in-loop, audit, policy enforcement</w:t>
            </w:r>
          </w:p>
        </w:tc>
      </w:tr>
    </w:tbl>
    <w:p>
      <w:pPr>
        <w:pStyle w:val="Heading2"/>
      </w:pPr>
      <w:r>
        <w:t>2.1 Integration Principles</w:t>
      </w:r>
    </w:p>
    <w:p>
      <w:pPr>
        <w:pStyle w:val="ListBullet"/>
        <w:ind w:left="432"/>
      </w:pPr>
      <w:r>
        <w:t>Loose coupling: AI services consume DDRS APIs; no direct DB coupling.</w:t>
      </w:r>
    </w:p>
    <w:p>
      <w:pPr>
        <w:pStyle w:val="ListBullet"/>
        <w:ind w:left="432"/>
      </w:pPr>
      <w:r>
        <w:t>Asynchronous, event-driven where suitable; idempotent operations.</w:t>
      </w:r>
    </w:p>
    <w:p>
      <w:pPr>
        <w:pStyle w:val="ListBullet"/>
        <w:ind w:left="432"/>
      </w:pPr>
      <w:r>
        <w:t>Standard protocols (REST/JSON, Model Context Protocol for agents).</w:t>
      </w:r>
    </w:p>
    <w:p>
      <w:pPr>
        <w:pStyle w:val="ListBullet"/>
        <w:ind w:left="432"/>
      </w:pPr>
      <w:r>
        <w:t>Versioned contracts and feature flags for safe rollout.</w:t>
      </w:r>
    </w:p>
    <w:p>
      <w:pPr>
        <w:pStyle w:val="ListBullet"/>
        <w:ind w:left="432"/>
      </w:pPr>
      <w:r>
        <w:t>Every AI action audited; human-in-the-loop for regulatory decisions.</w:t>
      </w:r>
    </w:p>
    <w:p>
      <w:r>
        <w:br w:type="page"/>
      </w:r>
    </w:p>
    <w:p>
      <w:pPr>
        <w:pStyle w:val="Heading1"/>
      </w:pPr>
      <w:r>
        <w:t>3. Regulatory AI Use-Case Map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822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usecas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82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606B"/>
          <w:sz w:val="18"/>
        </w:rPr>
        <w:t>Figure — Regulatory AI use-case map.</w:t>
      </w:r>
    </w:p>
    <w:p>
      <w:pPr>
        <w:pStyle w:val="Heading2"/>
      </w:pPr>
      <w:r>
        <w:t>3.1 Use-Case Catalogue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0b3d7b"/>
          </w:tcPr>
          <w:p>
            <w:r>
              <w:rPr>
                <w:b/>
                <w:color w:val="FFFFFF"/>
                <w:sz w:val="16"/>
              </w:rPr>
              <w:t>Use case</w:t>
            </w:r>
          </w:p>
        </w:tc>
        <w:tc>
          <w:tcPr>
            <w:tcW w:type="dxa" w:w="1440"/>
            <w:shd w:val="clear" w:fill="0b3d7b"/>
          </w:tcPr>
          <w:p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1440"/>
            <w:shd w:val="clear" w:fill="0b3d7b"/>
          </w:tcPr>
          <w:p>
            <w:r>
              <w:rPr>
                <w:b/>
                <w:color w:val="FFFFFF"/>
                <w:sz w:val="16"/>
              </w:rPr>
              <w:t>Inputs</w:t>
            </w:r>
          </w:p>
        </w:tc>
        <w:tc>
          <w:tcPr>
            <w:tcW w:type="dxa" w:w="1440"/>
            <w:shd w:val="clear" w:fill="0b3d7b"/>
          </w:tcPr>
          <w:p>
            <w:r>
              <w:rPr>
                <w:b/>
                <w:color w:val="FFFFFF"/>
                <w:sz w:val="16"/>
              </w:rPr>
              <w:t>Outputs</w:t>
            </w:r>
          </w:p>
        </w:tc>
        <w:tc>
          <w:tcPr>
            <w:tcW w:type="dxa" w:w="1440"/>
            <w:shd w:val="clear" w:fill="0b3d7b"/>
          </w:tcPr>
          <w:p>
            <w:r>
              <w:rPr>
                <w:b/>
                <w:color w:val="FFFFFF"/>
                <w:sz w:val="16"/>
              </w:rPr>
              <w:t>Technique</w:t>
            </w:r>
          </w:p>
        </w:tc>
        <w:tc>
          <w:tcPr>
            <w:tcW w:type="dxa" w:w="1440"/>
            <w:shd w:val="clear" w:fill="0b3d7b"/>
          </w:tcPr>
          <w:p>
            <w:r>
              <w:rPr>
                <w:b/>
                <w:color w:val="FFFFFF"/>
                <w:sz w:val="16"/>
              </w:rPr>
              <w:t>Benefit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RAG conversational assistant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Answer applicant/officer queries grounded in CDSCO guidelines, Acts &amp; SOPs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Query + knowledge index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Cited answer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RAG over vector store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Faster, consistent guidance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Document summarisation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Summarise dossiers, reports, PSURs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Document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Structured summary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LLM summarisation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Reviewer time saved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Completeness assessment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Check application/dossier completeness vs checklist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Application + rules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Gap report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Classification + rules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Fewer query cycles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Classification &amp; routing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Auto-classify applications/complaints and route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Application/complaint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Category + route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Text classification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Faster allocation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Document comparison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Compare versions/labels/specifications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Two documents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Diff &amp; risk flags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Semantic diff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Detect discrepancies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Inspection report generation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Draft inspection reports from findings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Findings + template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Draft report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LLM generation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Inspector time saved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AI anonymisation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Redact PII for sharing/analytics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Records/documents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Anonymised data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PII detection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DPDP-safe sharing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Fraud / anomaly analytics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Detect duplicate brands, suspicious patterns, NSQ risk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Transactions/registries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Risk scores/alerts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Anomaly detection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Proactive surveillance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Duplicate detection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Detect duplicate licences/brand names/batches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Registry data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Duplicate clusters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Similarity/embeddings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Data integrity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Risk-based inspection scoring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Prioritise inspections by risk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History + signals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Risk ranking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Predictive model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Efficient enforcement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Multi-agent workflows (MCP)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Orchestrate multi-step regulatory tasks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Task + tools/APIs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Completed actions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Agentic orchestration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Automation at scale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Alert generation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Draft drug/cosmetic alerts from signals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Enforcement/lab data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Draft alert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LLM + rules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Timely public safety</w:t>
            </w:r>
          </w:p>
        </w:tc>
      </w:tr>
    </w:tbl>
    <w:p>
      <w:r>
        <w:br w:type="page"/>
      </w:r>
    </w:p>
    <w:p>
      <w:pPr>
        <w:pStyle w:val="Heading1"/>
      </w:pPr>
      <w:r>
        <w:t>4. Data Readiness &amp; MLOps</w:t>
      </w:r>
    </w:p>
    <w:p>
      <w:pPr>
        <w:pStyle w:val="ListBullet"/>
        <w:ind w:left="432"/>
      </w:pPr>
      <w:r>
        <w:t>Documented schemas (37 entities) and workflows enable supervised learning and retrieval.</w:t>
      </w:r>
    </w:p>
    <w:p>
      <w:pPr>
        <w:pStyle w:val="ListBullet"/>
        <w:ind w:left="432"/>
      </w:pPr>
      <w:r>
        <w:t>Document &amp; knowledge stores feed the vector index for RAG.</w:t>
      </w:r>
    </w:p>
    <w:p>
      <w:pPr>
        <w:pStyle w:val="ListBullet"/>
        <w:ind w:left="432"/>
      </w:pPr>
      <w:r>
        <w:t>MLOps: model registry, versioned deployment, monitoring, drift detection, evaluation.</w:t>
      </w:r>
    </w:p>
    <w:p>
      <w:pPr>
        <w:pStyle w:val="ListBullet"/>
        <w:ind w:left="432"/>
      </w:pPr>
      <w:r>
        <w:t>Feedback loops capture human corrections to improve models.</w:t>
      </w:r>
    </w:p>
    <w:p>
      <w:pPr>
        <w:pStyle w:val="Heading1"/>
      </w:pPr>
      <w:r>
        <w:t>5. Governance, Ethics &amp; Guardrails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0b3d7b"/>
          </w:tcPr>
          <w:p>
            <w:r>
              <w:rPr>
                <w:b/>
                <w:color w:val="FFFFFF"/>
                <w:sz w:val="18"/>
              </w:rPr>
              <w:t>Concern</w:t>
            </w:r>
          </w:p>
        </w:tc>
        <w:tc>
          <w:tcPr>
            <w:tcW w:type="dxa" w:w="4320"/>
            <w:shd w:val="clear" w:fill="0b3d7b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Accuracy / hallucination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Retrieval grounding + citations + confidence thresholds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Human-in-the-loop for all regulatory decisions; AI assists, not decides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Privacy (DPDP)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PII minimisation/anonymisation; access control; purpose limitation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Auditability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All AI invocations logged with inputs/outputs/version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Bias &amp; fairness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Evaluation datasets; monitoring; review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Prompt-injection defences; sandboxed tools; least privilege</w:t>
            </w:r>
          </w:p>
        </w:tc>
      </w:tr>
    </w:tbl>
    <w:p>
      <w:pPr>
        <w:pStyle w:val="Heading1"/>
      </w:pPr>
      <w:r>
        <w:t>6. Roadmap &amp; Maturity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0b3d7b"/>
          </w:tcPr>
          <w:p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type="dxa" w:w="4320"/>
            <w:shd w:val="clear" w:fill="0b3d7b"/>
          </w:tcPr>
          <w:p>
            <w:r>
              <w:rPr>
                <w:b/>
                <w:color w:val="FFFFFF"/>
                <w:sz w:val="18"/>
              </w:rPr>
              <w:t>Capability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Foundation (now)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AI-ready APIs, documented data, dashboards &amp; rule-based automation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Assistive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RAG assistant, summarisation, completeness checks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Augmented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Classification, anomaly/fraud analytics, risk-based inspection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Autonomous (governed)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Multi-agent workflows via MCP with human-in-loop</w:t>
            </w:r>
          </w:p>
        </w:tc>
      </w:tr>
    </w:tbl>
    <w:p>
      <w:pPr>
        <w:pStyle w:val="Heading1"/>
      </w:pPr>
      <w:r>
        <w:t>7. Risks &amp;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0b3d7b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4320"/>
            <w:shd w:val="clear" w:fill="0b3d7b"/>
          </w:tcPr>
          <w:p>
            <w:r>
              <w:rPr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Over-reliance on AI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Human-in-loop; AI as decision support 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quality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Validation, cleansing, monitoring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Model drift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Continuous evaluation and retraining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Privacy exposure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Anonymisation, access control, DPDP compliance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Integration risk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Versioned APIs, contract tests, feature flags</w:t>
            </w:r>
          </w:p>
        </w:tc>
      </w:tr>
    </w:tbl>
    <w:p>
      <w:pPr>
        <w:pStyle w:val="Heading1"/>
      </w:pPr>
      <w:r>
        <w:t>Appendix A — Sample Agent Workflow (MCP)</w:t>
      </w:r>
    </w:p>
    <w:p>
      <w:pPr>
        <w:pStyle w:val="ListNumber"/>
      </w:pPr>
      <w:r>
        <w:t>User asks: "Is application CDSCO/ML/2026/000123 ready for approval?"</w:t>
      </w:r>
    </w:p>
    <w:p>
      <w:pPr>
        <w:pStyle w:val="ListNumber"/>
      </w:pPr>
      <w:r>
        <w:t>Agent retrieves the application + checklist via DDRS APIs.</w:t>
      </w:r>
    </w:p>
    <w:p>
      <w:pPr>
        <w:pStyle w:val="ListNumber"/>
      </w:pPr>
      <w:r>
        <w:t>Completeness service flags missing documents; RAG cites the relevant rule.</w:t>
      </w:r>
    </w:p>
    <w:p>
      <w:pPr>
        <w:pStyle w:val="ListNumber"/>
      </w:pPr>
      <w:r>
        <w:t>Agent drafts a query letter (human reviews and sends).</w:t>
      </w:r>
    </w:p>
    <w:p>
      <w:pPr>
        <w:pStyle w:val="ListNumber"/>
      </w:pPr>
      <w:r>
        <w:t>All steps and tool calls are logged to the audit trail.</w:t>
      </w:r>
    </w:p>
    <w:p>
      <w:r>
        <w:rPr>
          <w:b w:val="0"/>
          <w:i w:val="0"/>
        </w:rPr>
        <w:br/>
      </w:r>
    </w:p>
    <w:p>
      <w:pPr>
        <w:jc w:val="center"/>
      </w:pPr>
      <w:r>
        <w:rPr>
          <w:b/>
          <w:i w:val="0"/>
          <w:color w:val="0B3D7B"/>
        </w:rPr>
        <w:t>— End of Document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B3D7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B3D7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B3D7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B3D7B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