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b/>
          <w:i w:val="0"/>
          <w:color w:val="0B3D7B"/>
          <w:sz w:val="28"/>
        </w:rPr>
        <w:t>GOVERNMENT OF INDIA</w:t>
      </w:r>
    </w:p>
    <w:p>
      <w:pPr>
        <w:jc w:val="center"/>
      </w:pPr>
      <w:r>
        <w:rPr>
          <w:b w:val="0"/>
          <w:i w:val="0"/>
          <w:color w:val="55606B"/>
          <w:sz w:val="22"/>
        </w:rPr>
        <w:t>Ministry of Health &amp; Family Welfare · Directorate General of Health Services</w:t>
      </w:r>
    </w:p>
    <w:p>
      <w:pPr>
        <w:jc w:val="center"/>
      </w:pPr>
      <w:r>
        <w:rPr>
          <w:b/>
          <w:i w:val="0"/>
          <w:color w:val="0B3D7B"/>
          <w:sz w:val="26"/>
        </w:rPr>
        <w:t>Central Drugs Standard Control Organization (CDSCO)</w:t>
      </w:r>
    </w:p>
    <w:p>
      <w:r>
        <w:br/>
        <w:br/>
      </w:r>
    </w:p>
    <w:p>
      <w:pPr>
        <w:jc w:val="center"/>
      </w:pPr>
      <w:r>
        <w:rPr>
          <w:b/>
          <w:i w:val="0"/>
          <w:color w:val="0B3D7B"/>
          <w:sz w:val="46"/>
        </w:rPr>
        <w:t>DIGITAL DRUGS REGULATORY SYSTEM (DDRS)</w:t>
      </w:r>
    </w:p>
    <w:p>
      <w:pPr>
        <w:jc w:val="center"/>
      </w:pPr>
      <w:r>
        <w:rPr>
          <w:b/>
          <w:i w:val="0"/>
          <w:color w:val="C06010"/>
          <w:sz w:val="36"/>
        </w:rPr>
        <w:t>Data Migration Plan</w:t>
      </w:r>
    </w:p>
    <w:p>
      <w:pPr>
        <w:jc w:val="center"/>
      </w:pPr>
      <w:r>
        <w:rPr>
          <w:b w:val="0"/>
          <w:i w:val="0"/>
          <w:color w:val="55606B"/>
          <w:sz w:val="24"/>
        </w:rPr>
        <w:t>Migrating Existing CDSCO Portals to the DDRS Portal</w:t>
      </w:r>
    </w:p>
    <w:p>
      <w:r>
        <w:br/>
        <w:br/>
        <w:br/>
      </w:r>
    </w:p>
    <w:p>
      <w:pPr>
        <w:jc w:val="center"/>
      </w:pPr>
      <w:r>
        <w:rPr>
          <w:b/>
          <w:i w:val="0"/>
          <w:sz w:val="24"/>
        </w:rPr>
        <w:t>Document Version 1.0</w:t>
      </w:r>
    </w:p>
    <w:p>
      <w:pPr>
        <w:jc w:val="center"/>
      </w:pPr>
      <w:r>
        <w:rPr>
          <w:b w:val="0"/>
          <w:i w:val="0"/>
          <w:color w:val="55606B"/>
          <w:sz w:val="22"/>
        </w:rPr>
        <w:t>Date: 31 May 2026</w:t>
      </w:r>
    </w:p>
    <w:p>
      <w:r>
        <w:br w:type="page"/>
      </w:r>
    </w:p>
    <w:p>
      <w:pPr>
        <w:pStyle w:val="Heading1"/>
      </w:pPr>
      <w:r>
        <w:t>Table of Contents</w:t>
      </w:r>
    </w:p>
    <w:p>
      <w:fldSimple w:instr="TOC \o &quot;1-3&quot; \h \z \u">
        <w:r>
          <w:t>Right-click and "Update Field" to build the Table of Contents.</w:t>
        </w:r>
      </w:fldSimple>
    </w:p>
    <w:p>
      <w:r>
        <w:br w:type="page"/>
      </w:r>
    </w:p>
    <w:p>
      <w:pPr>
        <w:pStyle w:val="Heading1"/>
      </w:pPr>
      <w:r>
        <w:t>1. Introduction</w:t>
      </w:r>
    </w:p>
    <w:p>
      <w:pPr>
        <w:pStyle w:val="Heading2"/>
      </w:pPr>
      <w:r>
        <w:t>1.1 Purpose</w:t>
      </w:r>
    </w:p>
    <w:p>
      <w:r>
        <w:rPr>
          <w:b w:val="0"/>
          <w:i w:val="0"/>
        </w:rPr>
        <w:t>This document defines the strategy, methodology, mapping, governance and acceptance approach for migrating data from the existing CDSCO portals into the new Digital Drugs Regulatory System (DDRS). It ensures accuracy, completeness and integrity of migrated data while minimising downtime and disruption to ongoing regulatory activities.</w:t>
      </w:r>
    </w:p>
    <w:p>
      <w:pPr>
        <w:pStyle w:val="Heading2"/>
      </w:pPr>
      <w:r>
        <w:t>1.2 Scope</w:t>
      </w:r>
    </w:p>
    <w:p>
      <w:pPr>
        <w:pStyle w:val="ListBullet"/>
        <w:ind w:left="432"/>
      </w:pPr>
      <w:r>
        <w:t>Identification, extraction, cleansing, transformation, loading, validation and reconciliation of legacy data.</w:t>
      </w:r>
    </w:p>
    <w:p>
      <w:pPr>
        <w:pStyle w:val="ListBullet"/>
        <w:ind w:left="432"/>
      </w:pPr>
      <w:r>
        <w:t>Source systems: SUGAM, MD Online, SUGAM LABS, ONDLS and State portals.</w:t>
      </w:r>
    </w:p>
    <w:p>
      <w:pPr>
        <w:pStyle w:val="ListBullet"/>
        <w:ind w:left="432"/>
      </w:pPr>
      <w:r>
        <w:t>Master data (entities, products, technical persons, labs), transactional data (applications, licences, certificates), and documents.</w:t>
      </w:r>
    </w:p>
    <w:p>
      <w:pPr>
        <w:pStyle w:val="ListBullet"/>
        <w:ind w:left="432"/>
      </w:pPr>
      <w:r>
        <w:t>Incremental, phased migration aligned to the DDRS rollout.</w:t>
      </w:r>
    </w:p>
    <w:p>
      <w:pPr>
        <w:pStyle w:val="Heading2"/>
      </w:pPr>
      <w:r>
        <w:t>1.3 Objectives &amp; Principles</w:t>
      </w:r>
    </w:p>
    <w:p>
      <w:pPr>
        <w:pStyle w:val="ListBullet"/>
        <w:ind w:left="432"/>
      </w:pPr>
      <w:r>
        <w:t>Zero data loss and full traceability (every source record accounted for).</w:t>
      </w:r>
    </w:p>
    <w:p>
      <w:pPr>
        <w:pStyle w:val="ListBullet"/>
        <w:ind w:left="432"/>
      </w:pPr>
      <w:r>
        <w:t>Cleansed, de-duplicated, standardised data in DDRS.</w:t>
      </w:r>
    </w:p>
    <w:p>
      <w:pPr>
        <w:pStyle w:val="ListBullet"/>
        <w:ind w:left="432"/>
      </w:pPr>
      <w:r>
        <w:t>Reversible (rollback) and reconciled at each wave.</w:t>
      </w:r>
    </w:p>
    <w:p>
      <w:pPr>
        <w:pStyle w:val="ListBullet"/>
        <w:ind w:left="432"/>
      </w:pPr>
      <w:r>
        <w:t>Minimal downtime via parallel run and phased cutover.</w:t>
      </w:r>
    </w:p>
    <w:p>
      <w:pPr>
        <w:pStyle w:val="ListBullet"/>
        <w:ind w:left="432"/>
      </w:pPr>
      <w:r>
        <w:t>Security and confidentiality of sensitive data throughout.</w:t>
      </w:r>
    </w:p>
    <w:p>
      <w:r>
        <w:br w:type="page"/>
      </w:r>
    </w:p>
    <w:p>
      <w:pPr>
        <w:pStyle w:val="Heading1"/>
      </w:pPr>
      <w:r>
        <w:t>2. Source Systems Inventory</w:t>
      </w:r>
    </w:p>
    <w:p>
      <w:r>
        <w:rPr>
          <w:b w:val="0"/>
          <w:i w:val="0"/>
        </w:rPr>
        <w:t>The legacy estate comprises the following CDSCO and State systems. Exact volumes and schemas are confirmed during the assessment phase with each system owner.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8"/>
              </w:rPr>
              <w:t>Source System</w:t>
            </w:r>
          </w:p>
        </w:tc>
        <w:tc>
          <w:tcPr>
            <w:tcW w:type="dxa" w:w="2160"/>
            <w:shd w:val="clear" w:fill="0b3d7b"/>
          </w:tcPr>
          <w:p>
            <w:r>
              <w:rPr>
                <w:b/>
                <w:color w:val="FFFFFF"/>
                <w:sz w:val="18"/>
              </w:rPr>
              <w:t>Primary Content</w:t>
            </w:r>
          </w:p>
        </w:tc>
        <w:tc>
          <w:tcPr>
            <w:tcW w:type="dxa" w:w="2160"/>
            <w:shd w:val="clear" w:fill="0b3d7b"/>
          </w:tcPr>
          <w:p>
            <w:r>
              <w:rPr>
                <w:b/>
                <w:color w:val="FFFFFF"/>
                <w:sz w:val="18"/>
              </w:rPr>
              <w:t>Typical Formats</w:t>
            </w:r>
          </w:p>
        </w:tc>
        <w:tc>
          <w:tcPr>
            <w:tcW w:type="dxa" w:w="2160"/>
            <w:shd w:val="clear" w:fill="0b3d7b"/>
          </w:tcPr>
          <w:p>
            <w:r>
              <w:rPr>
                <w:b/>
                <w:color w:val="FFFFFF"/>
                <w:sz w:val="18"/>
              </w:rPr>
              <w:t>Target DDRS Area</w:t>
            </w:r>
          </w:p>
        </w:tc>
      </w:tr>
      <w:tr>
        <w:tc>
          <w:tcPr>
            <w:tcW w:type="dxa" w:w="2160"/>
          </w:tcPr>
          <w:p>
            <w:r>
              <w:rPr>
                <w:sz w:val="18"/>
              </w:rPr>
              <w:t>SUGAM (cdscoonline.gov.in)</w:t>
            </w:r>
          </w:p>
        </w:tc>
        <w:tc>
          <w:tcPr>
            <w:tcW w:type="dxa" w:w="2160"/>
          </w:tcPr>
          <w:p>
            <w:r>
              <w:rPr>
                <w:sz w:val="18"/>
              </w:rPr>
              <w:t>Central licensing/permissions, registrations, CT</w:t>
            </w:r>
          </w:p>
        </w:tc>
        <w:tc>
          <w:tcPr>
            <w:tcW w:type="dxa" w:w="2160"/>
          </w:tcPr>
          <w:p>
            <w:r>
              <w:rPr>
                <w:sz w:val="18"/>
              </w:rPr>
              <w:t>RDBMS, PDF, scans</w:t>
            </w:r>
          </w:p>
        </w:tc>
        <w:tc>
          <w:tcPr>
            <w:tcW w:type="dxa" w:w="2160"/>
          </w:tcPr>
          <w:p>
            <w:r>
              <w:rPr>
                <w:sz w:val="18"/>
              </w:rPr>
              <w:t>applications, licensing, clinical-trials</w:t>
            </w:r>
          </w:p>
        </w:tc>
      </w:tr>
      <w:tr>
        <w:tc>
          <w:tcPr>
            <w:tcW w:type="dxa" w:w="2160"/>
          </w:tcPr>
          <w:p>
            <w:r>
              <w:rPr>
                <w:sz w:val="18"/>
              </w:rPr>
              <w:t>MD Online (cdscomdonline.gov.in)</w:t>
            </w:r>
          </w:p>
        </w:tc>
        <w:tc>
          <w:tcPr>
            <w:tcW w:type="dxa" w:w="2160"/>
          </w:tcPr>
          <w:p>
            <w:r>
              <w:rPr>
                <w:sz w:val="18"/>
              </w:rPr>
              <w:t>Medical device &amp; IVD manufacturing/import licences</w:t>
            </w:r>
          </w:p>
        </w:tc>
        <w:tc>
          <w:tcPr>
            <w:tcW w:type="dxa" w:w="2160"/>
          </w:tcPr>
          <w:p>
            <w:r>
              <w:rPr>
                <w:sz w:val="18"/>
              </w:rPr>
              <w:t>RDBMS, PDF</w:t>
            </w:r>
          </w:p>
        </w:tc>
        <w:tc>
          <w:tcPr>
            <w:tcW w:type="dxa" w:w="2160"/>
          </w:tcPr>
          <w:p>
            <w:r>
              <w:rPr>
                <w:sz w:val="18"/>
              </w:rPr>
              <w:t>applications, licensing, products</w:t>
            </w:r>
          </w:p>
        </w:tc>
      </w:tr>
      <w:tr>
        <w:tc>
          <w:tcPr>
            <w:tcW w:type="dxa" w:w="2160"/>
          </w:tcPr>
          <w:p>
            <w:r>
              <w:rPr>
                <w:sz w:val="18"/>
              </w:rPr>
              <w:t>SUGAM LABS (sugamlabs.gov.in)</w:t>
            </w:r>
          </w:p>
        </w:tc>
        <w:tc>
          <w:tcPr>
            <w:tcW w:type="dxa" w:w="2160"/>
          </w:tcPr>
          <w:p>
            <w:r>
              <w:rPr>
                <w:sz w:val="18"/>
              </w:rPr>
              <w:t>Central lab LIMS: samples, tests, reports</w:t>
            </w:r>
          </w:p>
        </w:tc>
        <w:tc>
          <w:tcPr>
            <w:tcW w:type="dxa" w:w="2160"/>
          </w:tcPr>
          <w:p>
            <w:r>
              <w:rPr>
                <w:sz w:val="18"/>
              </w:rPr>
              <w:t>RDBMS, instrument files</w:t>
            </w:r>
          </w:p>
        </w:tc>
        <w:tc>
          <w:tcPr>
            <w:tcW w:type="dxa" w:w="2160"/>
          </w:tcPr>
          <w:p>
            <w:r>
              <w:rPr>
                <w:sz w:val="18"/>
              </w:rPr>
              <w:t>laboratory (samples, reports, BRC)</w:t>
            </w:r>
          </w:p>
        </w:tc>
      </w:tr>
      <w:tr>
        <w:tc>
          <w:tcPr>
            <w:tcW w:type="dxa" w:w="2160"/>
          </w:tcPr>
          <w:p>
            <w:r>
              <w:rPr>
                <w:sz w:val="18"/>
              </w:rPr>
              <w:t>ONDLS (statedrugs.gov.in)</w:t>
            </w:r>
          </w:p>
        </w:tc>
        <w:tc>
          <w:tcPr>
            <w:tcW w:type="dxa" w:w="2160"/>
          </w:tcPr>
          <w:p>
            <w:r>
              <w:rPr>
                <w:sz w:val="18"/>
              </w:rPr>
              <w:t>State sales/manufacturing licences, COPP/GMP/MSC</w:t>
            </w:r>
          </w:p>
        </w:tc>
        <w:tc>
          <w:tcPr>
            <w:tcW w:type="dxa" w:w="2160"/>
          </w:tcPr>
          <w:p>
            <w:r>
              <w:rPr>
                <w:sz w:val="18"/>
              </w:rPr>
              <w:t>RDBMS, PDF</w:t>
            </w:r>
          </w:p>
        </w:tc>
        <w:tc>
          <w:tcPr>
            <w:tcW w:type="dxa" w:w="2160"/>
          </w:tcPr>
          <w:p>
            <w:r>
              <w:rPr>
                <w:sz w:val="18"/>
              </w:rPr>
              <w:t>applications, licensing, registry</w:t>
            </w:r>
          </w:p>
        </w:tc>
      </w:tr>
      <w:tr>
        <w:tc>
          <w:tcPr>
            <w:tcW w:type="dxa" w:w="2160"/>
          </w:tcPr>
          <w:p>
            <w:r>
              <w:rPr>
                <w:sz w:val="18"/>
              </w:rPr>
              <w:t>State portals (various)</w:t>
            </w:r>
          </w:p>
        </w:tc>
        <w:tc>
          <w:tcPr>
            <w:tcW w:type="dxa" w:w="2160"/>
          </w:tcPr>
          <w:p>
            <w:r>
              <w:rPr>
                <w:sz w:val="18"/>
              </w:rPr>
              <w:t>State-specific licences &amp; registrations</w:t>
            </w:r>
          </w:p>
        </w:tc>
        <w:tc>
          <w:tcPr>
            <w:tcW w:type="dxa" w:w="2160"/>
          </w:tcPr>
          <w:p>
            <w:r>
              <w:rPr>
                <w:sz w:val="18"/>
              </w:rPr>
              <w:t>RDBMS/CSV/XLS</w:t>
            </w:r>
          </w:p>
        </w:tc>
        <w:tc>
          <w:tcPr>
            <w:tcW w:type="dxa" w:w="2160"/>
          </w:tcPr>
          <w:p>
            <w:r>
              <w:rPr>
                <w:sz w:val="18"/>
              </w:rPr>
              <w:t>applications, registry, licensing</w:t>
            </w:r>
          </w:p>
        </w:tc>
      </w:tr>
      <w:tr>
        <w:tc>
          <w:tcPr>
            <w:tcW w:type="dxa" w:w="2160"/>
          </w:tcPr>
          <w:p>
            <w:r>
              <w:rPr>
                <w:sz w:val="18"/>
              </w:rPr>
              <w:t>Documents &amp; scans</w:t>
            </w:r>
          </w:p>
        </w:tc>
        <w:tc>
          <w:tcPr>
            <w:tcW w:type="dxa" w:w="2160"/>
          </w:tcPr>
          <w:p>
            <w:r>
              <w:rPr>
                <w:sz w:val="18"/>
              </w:rPr>
              <w:t>Supporting documents across portals</w:t>
            </w:r>
          </w:p>
        </w:tc>
        <w:tc>
          <w:tcPr>
            <w:tcW w:type="dxa" w:w="2160"/>
          </w:tcPr>
          <w:p>
            <w:r>
              <w:rPr>
                <w:sz w:val="18"/>
              </w:rPr>
              <w:t>PDF/JPEG/TIFF</w:t>
            </w:r>
          </w:p>
        </w:tc>
        <w:tc>
          <w:tcPr>
            <w:tcW w:type="dxa" w:w="2160"/>
          </w:tcPr>
          <w:p>
            <w:r>
              <w:rPr>
                <w:sz w:val="18"/>
              </w:rPr>
              <w:t>documents (with checksum/version)</w:t>
            </w:r>
          </w:p>
        </w:tc>
      </w:tr>
    </w:tbl>
    <w:p>
      <w:r>
        <w:rPr>
          <w:b w:val="0"/>
          <w:i w:val="0"/>
        </w:rPr>
        <w:t>Reference data volume: existing portal utilisation is approximately 24.3 TB (as of March 2026), dominated by uploaded documents and scanned artefacts.</w:t>
      </w:r>
    </w:p>
    <w:p>
      <w:r>
        <w:br w:type="page"/>
      </w:r>
    </w:p>
    <w:p>
      <w:pPr>
        <w:pStyle w:val="Heading1"/>
      </w:pPr>
      <w:r>
        <w:t>3. Migration Strategy</w:t>
      </w:r>
    </w:p>
    <w:p>
      <w:pPr>
        <w:pStyle w:val="Heading2"/>
      </w:pPr>
      <w:r>
        <w:t>3.1 Approach</w:t>
      </w:r>
    </w:p>
    <w:p>
      <w:r>
        <w:rPr>
          <w:b w:val="0"/>
          <w:i w:val="0"/>
        </w:rPr>
        <w:t>Migration is incremental and wave-based, synchronised with the DDRS state-rollout plan. Each wave migrates a coherent slice (a portal/State and its dependent data) into a staging area, validates and reconciles it, then promotes it to production. A parallel-run window allows verification against the legacy system before cutover.</w:t>
      </w:r>
    </w:p>
    <w:p>
      <w:pPr>
        <w:jc w:val="center"/>
      </w:pPr>
      <w:r>
        <w:drawing>
          <wp:inline xmlns:a="http://schemas.openxmlformats.org/drawingml/2006/main" xmlns:pic="http://schemas.openxmlformats.org/drawingml/2006/picture">
            <wp:extent cx="6309360" cy="3597723"/>
            <wp:docPr id="1" name="Picture 1"/>
            <wp:cNvGraphicFramePr>
              <a:graphicFrameLocks noChangeAspect="1"/>
            </wp:cNvGraphicFramePr>
            <a:graphic>
              <a:graphicData uri="http://schemas.openxmlformats.org/drawingml/2006/picture">
                <pic:pic>
                  <pic:nvPicPr>
                    <pic:cNvPr id="0" name="migration_flow.png"/>
                    <pic:cNvPicPr/>
                  </pic:nvPicPr>
                  <pic:blipFill>
                    <a:blip r:embed="rId9"/>
                    <a:stretch>
                      <a:fillRect/>
                    </a:stretch>
                  </pic:blipFill>
                  <pic:spPr>
                    <a:xfrm>
                      <a:off x="0" y="0"/>
                      <a:ext cx="6309360" cy="3597723"/>
                    </a:xfrm>
                    <a:prstGeom prst="rect"/>
                  </pic:spPr>
                </pic:pic>
              </a:graphicData>
            </a:graphic>
          </wp:inline>
        </w:drawing>
      </w:r>
    </w:p>
    <w:p>
      <w:pPr>
        <w:jc w:val="center"/>
      </w:pPr>
      <w:r>
        <w:rPr>
          <w:i/>
          <w:color w:val="55606B"/>
          <w:sz w:val="18"/>
        </w:rPr>
        <w:t>Figure — DDRS data-migration pipeline.</w:t>
      </w:r>
    </w:p>
    <w:p>
      <w:pPr>
        <w:pStyle w:val="Heading2"/>
      </w:pPr>
      <w:r>
        <w:t>3.2 Migration Types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8"/>
              </w:rPr>
              <w:t>Type</w:t>
            </w:r>
          </w:p>
        </w:tc>
        <w:tc>
          <w:tcPr>
            <w:tcW w:type="dxa" w:w="4320"/>
            <w:shd w:val="clear" w:fill="0b3d7b"/>
          </w:tcPr>
          <w:p>
            <w:r>
              <w:rPr>
                <w:b/>
                <w:color w:val="FFFFFF"/>
                <w:sz w:val="18"/>
              </w:rPr>
              <w:t>Use</w:t>
            </w:r>
          </w:p>
        </w:tc>
      </w:tr>
      <w:tr>
        <w:tc>
          <w:tcPr>
            <w:tcW w:type="dxa" w:w="4320"/>
          </w:tcPr>
          <w:p>
            <w:r>
              <w:rPr>
                <w:sz w:val="18"/>
              </w:rPr>
              <w:t>Big-bang (per slice)</w:t>
            </w:r>
          </w:p>
        </w:tc>
        <w:tc>
          <w:tcPr>
            <w:tcW w:type="dxa" w:w="4320"/>
          </w:tcPr>
          <w:p>
            <w:r>
              <w:rPr>
                <w:sz w:val="18"/>
              </w:rPr>
              <w:t>Small, self-contained reference datasets</w:t>
            </w:r>
          </w:p>
        </w:tc>
      </w:tr>
      <w:tr>
        <w:tc>
          <w:tcPr>
            <w:tcW w:type="dxa" w:w="4320"/>
          </w:tcPr>
          <w:p>
            <w:r>
              <w:rPr>
                <w:sz w:val="18"/>
              </w:rPr>
              <w:t>Phased / incremental</w:t>
            </w:r>
          </w:p>
        </w:tc>
        <w:tc>
          <w:tcPr>
            <w:tcW w:type="dxa" w:w="4320"/>
          </w:tcPr>
          <w:p>
            <w:r>
              <w:rPr>
                <w:sz w:val="18"/>
              </w:rPr>
              <w:t>Primary approach — by portal/State and entity group</w:t>
            </w:r>
          </w:p>
        </w:tc>
      </w:tr>
      <w:tr>
        <w:tc>
          <w:tcPr>
            <w:tcW w:type="dxa" w:w="4320"/>
          </w:tcPr>
          <w:p>
            <w:r>
              <w:rPr>
                <w:sz w:val="18"/>
              </w:rPr>
              <w:t>Parallel run</w:t>
            </w:r>
          </w:p>
        </w:tc>
        <w:tc>
          <w:tcPr>
            <w:tcW w:type="dxa" w:w="4320"/>
          </w:tcPr>
          <w:p>
            <w:r>
              <w:rPr>
                <w:sz w:val="18"/>
              </w:rPr>
              <w:t>Critical transactional data verified against legacy before cutover</w:t>
            </w:r>
          </w:p>
        </w:tc>
      </w:tr>
      <w:tr>
        <w:tc>
          <w:tcPr>
            <w:tcW w:type="dxa" w:w="4320"/>
          </w:tcPr>
          <w:p>
            <w:r>
              <w:rPr>
                <w:sz w:val="18"/>
              </w:rPr>
              <w:t>Delta / catch-up</w:t>
            </w:r>
          </w:p>
        </w:tc>
        <w:tc>
          <w:tcPr>
            <w:tcW w:type="dxa" w:w="4320"/>
          </w:tcPr>
          <w:p>
            <w:r>
              <w:rPr>
                <w:sz w:val="18"/>
              </w:rPr>
              <w:t>Capture records created in legacy during the migration window</w:t>
            </w:r>
          </w:p>
        </w:tc>
      </w:tr>
    </w:tbl>
    <w:p>
      <w:r>
        <w:br w:type="page"/>
      </w:r>
    </w:p>
    <w:p>
      <w:pPr>
        <w:pStyle w:val="Heading1"/>
      </w:pPr>
      <w:r>
        <w:t>4. Migration Methodology</w:t>
      </w:r>
    </w:p>
    <w:p>
      <w:pPr>
        <w:pStyle w:val="Heading3"/>
      </w:pPr>
      <w:r>
        <w:t>4.1 Assessment &amp; Profiling</w:t>
      </w:r>
    </w:p>
    <w:p>
      <w:r>
        <w:rPr>
          <w:b w:val="0"/>
          <w:i w:val="0"/>
        </w:rPr>
        <w:t>Inventory sources, profile data quality, define scope, volumes and risks per system.</w:t>
      </w:r>
    </w:p>
    <w:p>
      <w:pPr>
        <w:pStyle w:val="Heading3"/>
      </w:pPr>
      <w:r>
        <w:t>4.2 Extraction</w:t>
      </w:r>
    </w:p>
    <w:p>
      <w:r>
        <w:rPr>
          <w:b w:val="0"/>
          <w:i w:val="0"/>
        </w:rPr>
        <w:t>Extract from source RDBMS/exports (API/DB/CSV); land in a secure staging area.</w:t>
      </w:r>
    </w:p>
    <w:p>
      <w:pPr>
        <w:pStyle w:val="Heading3"/>
      </w:pPr>
      <w:r>
        <w:t>4.3 Cleansing &amp; De-duplication</w:t>
      </w:r>
    </w:p>
    <w:p>
      <w:r>
        <w:rPr>
          <w:b w:val="0"/>
          <w:i w:val="0"/>
        </w:rPr>
        <w:t>Standardise formats, fix anomalies, de-duplicate entities/products, resolve orphan references.</w:t>
      </w:r>
    </w:p>
    <w:p>
      <w:pPr>
        <w:pStyle w:val="Heading3"/>
      </w:pPr>
      <w:r>
        <w:t>4.4 Transformation &amp; Mapping</w:t>
      </w:r>
    </w:p>
    <w:p>
      <w:r>
        <w:rPr>
          <w:b w:val="0"/>
          <w:i w:val="0"/>
        </w:rPr>
        <w:t>Map source schemas to DDRS entities/fields; derive reference numbers; normalise enums.</w:t>
      </w:r>
    </w:p>
    <w:p>
      <w:pPr>
        <w:pStyle w:val="Heading3"/>
      </w:pPr>
      <w:r>
        <w:t>4.5 Loading</w:t>
      </w:r>
    </w:p>
    <w:p>
      <w:r>
        <w:rPr>
          <w:b w:val="0"/>
          <w:i w:val="0"/>
        </w:rPr>
        <w:t>Bulk-load into DDRS via repositories/ETL with referential integrity and batching.</w:t>
      </w:r>
    </w:p>
    <w:p>
      <w:pPr>
        <w:pStyle w:val="Heading3"/>
      </w:pPr>
      <w:r>
        <w:t>4.6 Validation</w:t>
      </w:r>
    </w:p>
    <w:p>
      <w:r>
        <w:rPr>
          <w:b w:val="0"/>
          <w:i w:val="0"/>
        </w:rPr>
        <w:t>Row counts, checksums, business-rule and referential checks; sample audits.</w:t>
      </w:r>
    </w:p>
    <w:p>
      <w:pPr>
        <w:pStyle w:val="Heading3"/>
      </w:pPr>
      <w:r>
        <w:t>4.7 Reconciliation</w:t>
      </w:r>
    </w:p>
    <w:p>
      <w:r>
        <w:rPr>
          <w:b w:val="0"/>
          <w:i w:val="0"/>
        </w:rPr>
        <w:t>Reconcile source vs target per entity; sign-off; record exceptions.</w:t>
      </w:r>
    </w:p>
    <w:p>
      <w:pPr>
        <w:pStyle w:val="Heading3"/>
      </w:pPr>
      <w:r>
        <w:t>4.8 Cutover &amp; Hypercare</w:t>
      </w:r>
    </w:p>
    <w:p>
      <w:r>
        <w:rPr>
          <w:b w:val="0"/>
          <w:i w:val="0"/>
        </w:rPr>
        <w:t>Switch users to DDRS; monitor; apply deltas; support.</w:t>
      </w:r>
    </w:p>
    <w:p>
      <w:r>
        <w:br w:type="page"/>
      </w:r>
    </w:p>
    <w:p>
      <w:pPr>
        <w:pStyle w:val="Heading1"/>
      </w:pPr>
      <w:r>
        <w:t>5. Data Mapping (Source → DDRS)</w:t>
      </w:r>
    </w:p>
    <w:p>
      <w:pPr>
        <w:pStyle w:val="Heading2"/>
      </w:pPr>
      <w:r>
        <w:t>5.1 Entity-Level Mapping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3d7b"/>
          </w:tcPr>
          <w:p>
            <w:r>
              <w:rPr>
                <w:b/>
                <w:color w:val="FFFFFF"/>
                <w:sz w:val="18"/>
              </w:rPr>
              <w:t>Legacy Concept</w:t>
            </w:r>
          </w:p>
        </w:tc>
        <w:tc>
          <w:tcPr>
            <w:tcW w:type="dxa" w:w="2160"/>
            <w:shd w:val="clear" w:fill="0b3d7b"/>
          </w:tcPr>
          <w:p>
            <w:r>
              <w:rPr>
                <w:b/>
                <w:color w:val="FFFFFF"/>
                <w:sz w:val="18"/>
              </w:rPr>
              <w:t>Source</w:t>
            </w:r>
          </w:p>
        </w:tc>
        <w:tc>
          <w:tcPr>
            <w:tcW w:type="dxa" w:w="2160"/>
            <w:shd w:val="clear" w:fill="0b3d7b"/>
          </w:tcPr>
          <w:p>
            <w:r>
              <w:rPr>
                <w:b/>
                <w:color w:val="FFFFFF"/>
                <w:sz w:val="18"/>
              </w:rPr>
              <w:t>DDRS Entity</w:t>
            </w:r>
          </w:p>
        </w:tc>
        <w:tc>
          <w:tcPr>
            <w:tcW w:type="dxa" w:w="2160"/>
            <w:shd w:val="clear" w:fill="0b3d7b"/>
          </w:tcPr>
          <w:p>
            <w:r>
              <w:rPr>
                <w:b/>
                <w:color w:val="FFFFFF"/>
                <w:sz w:val="18"/>
              </w:rPr>
              <w:t>Notes</w:t>
            </w:r>
          </w:p>
        </w:tc>
      </w:tr>
      <w:tr>
        <w:tc>
          <w:tcPr>
            <w:tcW w:type="dxa" w:w="2160"/>
          </w:tcPr>
          <w:p>
            <w:r>
              <w:rPr>
                <w:sz w:val="18"/>
              </w:rPr>
              <w:t>Firm / Company</w:t>
            </w:r>
          </w:p>
        </w:tc>
        <w:tc>
          <w:tcPr>
            <w:tcW w:type="dxa" w:w="2160"/>
          </w:tcPr>
          <w:p>
            <w:r>
              <w:rPr>
                <w:sz w:val="18"/>
              </w:rPr>
              <w:t>SUGAM/ONDLS/MD</w:t>
            </w:r>
          </w:p>
        </w:tc>
        <w:tc>
          <w:tcPr>
            <w:tcW w:type="dxa" w:w="2160"/>
          </w:tcPr>
          <w:p>
            <w:r>
              <w:rPr>
                <w:sz w:val="18"/>
              </w:rPr>
              <w:t>organizations</w:t>
            </w:r>
          </w:p>
        </w:tc>
        <w:tc>
          <w:tcPr>
            <w:tcW w:type="dxa" w:w="2160"/>
          </w:tcPr>
          <w:p>
            <w:r>
              <w:rPr>
                <w:sz w:val="18"/>
              </w:rPr>
              <w:t>De-dup by PAN/GSTIN/CIN</w:t>
            </w:r>
          </w:p>
        </w:tc>
      </w:tr>
      <w:tr>
        <w:tc>
          <w:tcPr>
            <w:tcW w:type="dxa" w:w="2160"/>
          </w:tcPr>
          <w:p>
            <w:r>
              <w:rPr>
                <w:sz w:val="18"/>
              </w:rPr>
              <w:t>Product / Brand</w:t>
            </w:r>
          </w:p>
        </w:tc>
        <w:tc>
          <w:tcPr>
            <w:tcW w:type="dxa" w:w="2160"/>
          </w:tcPr>
          <w:p>
            <w:r>
              <w:rPr>
                <w:sz w:val="18"/>
              </w:rPr>
              <w:t>SUGAM/MD</w:t>
            </w:r>
          </w:p>
        </w:tc>
        <w:tc>
          <w:tcPr>
            <w:tcW w:type="dxa" w:w="2160"/>
          </w:tcPr>
          <w:p>
            <w:r>
              <w:rPr>
                <w:sz w:val="18"/>
              </w:rPr>
              <w:t>products</w:t>
            </w:r>
          </w:p>
        </w:tc>
        <w:tc>
          <w:tcPr>
            <w:tcW w:type="dxa" w:w="2160"/>
          </w:tcPr>
          <w:p>
            <w:r>
              <w:rPr>
                <w:sz w:val="18"/>
              </w:rPr>
              <w:t>Brand-name de-duplication applied</w:t>
            </w:r>
          </w:p>
        </w:tc>
      </w:tr>
      <w:tr>
        <w:tc>
          <w:tcPr>
            <w:tcW w:type="dxa" w:w="2160"/>
          </w:tcPr>
          <w:p>
            <w:r>
              <w:rPr>
                <w:sz w:val="18"/>
              </w:rPr>
              <w:t>Technical/competent person</w:t>
            </w:r>
          </w:p>
        </w:tc>
        <w:tc>
          <w:tcPr>
            <w:tcW w:type="dxa" w:w="2160"/>
          </w:tcPr>
          <w:p>
            <w:r>
              <w:rPr>
                <w:sz w:val="18"/>
              </w:rPr>
              <w:t>ONDLS/SUGAM</w:t>
            </w:r>
          </w:p>
        </w:tc>
        <w:tc>
          <w:tcPr>
            <w:tcW w:type="dxa" w:w="2160"/>
          </w:tcPr>
          <w:p>
            <w:r>
              <w:rPr>
                <w:sz w:val="18"/>
              </w:rPr>
              <w:t>technical_persons</w:t>
            </w:r>
          </w:p>
        </w:tc>
        <w:tc>
          <w:tcPr>
            <w:tcW w:type="dxa" w:w="2160"/>
          </w:tcPr>
          <w:p>
            <w:r>
              <w:rPr>
                <w:sz w:val="18"/>
              </w:rPr>
              <w:t>Enforce one-entity engagement</w:t>
            </w:r>
          </w:p>
        </w:tc>
      </w:tr>
      <w:tr>
        <w:tc>
          <w:tcPr>
            <w:tcW w:type="dxa" w:w="2160"/>
          </w:tcPr>
          <w:p>
            <w:r>
              <w:rPr>
                <w:sz w:val="18"/>
              </w:rPr>
              <w:t>Testing laboratory</w:t>
            </w:r>
          </w:p>
        </w:tc>
        <w:tc>
          <w:tcPr>
            <w:tcW w:type="dxa" w:w="2160"/>
          </w:tcPr>
          <w:p>
            <w:r>
              <w:rPr>
                <w:sz w:val="18"/>
              </w:rPr>
              <w:t>SUGAM LABS/ONDLS</w:t>
            </w:r>
          </w:p>
        </w:tc>
        <w:tc>
          <w:tcPr>
            <w:tcW w:type="dxa" w:w="2160"/>
          </w:tcPr>
          <w:p>
            <w:r>
              <w:rPr>
                <w:sz w:val="18"/>
              </w:rPr>
              <w:t>laboratories</w:t>
            </w:r>
          </w:p>
        </w:tc>
        <w:tc>
          <w:tcPr>
            <w:tcW w:type="dxa" w:w="2160"/>
          </w:tcPr>
          <w:p>
            <w:r>
              <w:rPr>
                <w:sz w:val="18"/>
              </w:rPr>
              <w:t>Central/State/Private typing</w:t>
            </w:r>
          </w:p>
        </w:tc>
      </w:tr>
      <w:tr>
        <w:tc>
          <w:tcPr>
            <w:tcW w:type="dxa" w:w="2160"/>
          </w:tcPr>
          <w:p>
            <w:r>
              <w:rPr>
                <w:sz w:val="18"/>
              </w:rPr>
              <w:t>Application / permission</w:t>
            </w:r>
          </w:p>
        </w:tc>
        <w:tc>
          <w:tcPr>
            <w:tcW w:type="dxa" w:w="2160"/>
          </w:tcPr>
          <w:p>
            <w:r>
              <w:rPr>
                <w:sz w:val="18"/>
              </w:rPr>
              <w:t>SUGAM/MD/ONDLS</w:t>
            </w:r>
          </w:p>
        </w:tc>
        <w:tc>
          <w:tcPr>
            <w:tcW w:type="dxa" w:w="2160"/>
          </w:tcPr>
          <w:p>
            <w:r>
              <w:rPr>
                <w:sz w:val="18"/>
              </w:rPr>
              <w:t>applications (+events)</w:t>
            </w:r>
          </w:p>
        </w:tc>
        <w:tc>
          <w:tcPr>
            <w:tcW w:type="dxa" w:w="2160"/>
          </w:tcPr>
          <w:p>
            <w:r>
              <w:rPr>
                <w:sz w:val="18"/>
              </w:rPr>
              <w:t>Map status to DDRS state machine</w:t>
            </w:r>
          </w:p>
        </w:tc>
      </w:tr>
      <w:tr>
        <w:tc>
          <w:tcPr>
            <w:tcW w:type="dxa" w:w="2160"/>
          </w:tcPr>
          <w:p>
            <w:r>
              <w:rPr>
                <w:sz w:val="18"/>
              </w:rPr>
              <w:t>Licence / permission grant</w:t>
            </w:r>
          </w:p>
        </w:tc>
        <w:tc>
          <w:tcPr>
            <w:tcW w:type="dxa" w:w="2160"/>
          </w:tcPr>
          <w:p>
            <w:r>
              <w:rPr>
                <w:sz w:val="18"/>
              </w:rPr>
              <w:t>SUGAM/MD/ONDLS</w:t>
            </w:r>
          </w:p>
        </w:tc>
        <w:tc>
          <w:tcPr>
            <w:tcW w:type="dxa" w:w="2160"/>
          </w:tcPr>
          <w:p>
            <w:r>
              <w:rPr>
                <w:sz w:val="18"/>
              </w:rPr>
              <w:t>licenses</w:t>
            </w:r>
          </w:p>
        </w:tc>
        <w:tc>
          <w:tcPr>
            <w:tcW w:type="dxa" w:w="2160"/>
          </w:tcPr>
          <w:p>
            <w:r>
              <w:rPr>
                <w:sz w:val="18"/>
              </w:rPr>
              <w:t>Preserve number; regenerate QR</w:t>
            </w:r>
          </w:p>
        </w:tc>
      </w:tr>
      <w:tr>
        <w:tc>
          <w:tcPr>
            <w:tcW w:type="dxa" w:w="2160"/>
          </w:tcPr>
          <w:p>
            <w:r>
              <w:rPr>
                <w:sz w:val="18"/>
              </w:rPr>
              <w:t>Certificate / NOC (COPP/FSC/MSC/NCC)</w:t>
            </w:r>
          </w:p>
        </w:tc>
        <w:tc>
          <w:tcPr>
            <w:tcW w:type="dxa" w:w="2160"/>
          </w:tcPr>
          <w:p>
            <w:r>
              <w:rPr>
                <w:sz w:val="18"/>
              </w:rPr>
              <w:t>SUGAM/ONDLS</w:t>
            </w:r>
          </w:p>
        </w:tc>
        <w:tc>
          <w:tcPr>
            <w:tcW w:type="dxa" w:w="2160"/>
          </w:tcPr>
          <w:p>
            <w:r>
              <w:rPr>
                <w:sz w:val="18"/>
              </w:rPr>
              <w:t>certificates</w:t>
            </w:r>
          </w:p>
        </w:tc>
        <w:tc>
          <w:tcPr>
            <w:tcW w:type="dxa" w:w="2160"/>
          </w:tcPr>
          <w:p>
            <w:r>
              <w:rPr>
                <w:sz w:val="18"/>
              </w:rPr>
              <w:t>Map certType; set validity</w:t>
            </w:r>
          </w:p>
        </w:tc>
      </w:tr>
      <w:tr>
        <w:tc>
          <w:tcPr>
            <w:tcW w:type="dxa" w:w="2160"/>
          </w:tcPr>
          <w:p>
            <w:r>
              <w:rPr>
                <w:sz w:val="18"/>
              </w:rPr>
              <w:t>Sample / test report</w:t>
            </w:r>
          </w:p>
        </w:tc>
        <w:tc>
          <w:tcPr>
            <w:tcW w:type="dxa" w:w="2160"/>
          </w:tcPr>
          <w:p>
            <w:r>
              <w:rPr>
                <w:sz w:val="18"/>
              </w:rPr>
              <w:t>SUGAM LABS</w:t>
            </w:r>
          </w:p>
        </w:tc>
        <w:tc>
          <w:tcPr>
            <w:tcW w:type="dxa" w:w="2160"/>
          </w:tcPr>
          <w:p>
            <w:r>
              <w:rPr>
                <w:sz w:val="18"/>
              </w:rPr>
              <w:t>samples, test_reports</w:t>
            </w:r>
          </w:p>
        </w:tc>
        <w:tc>
          <w:tcPr>
            <w:tcW w:type="dxa" w:w="2160"/>
          </w:tcPr>
          <w:p>
            <w:r>
              <w:rPr>
                <w:sz w:val="18"/>
              </w:rPr>
              <w:t>Map result to SQ/NSQ/Spurious</w:t>
            </w:r>
          </w:p>
        </w:tc>
      </w:tr>
      <w:tr>
        <w:tc>
          <w:tcPr>
            <w:tcW w:type="dxa" w:w="2160"/>
          </w:tcPr>
          <w:p>
            <w:r>
              <w:rPr>
                <w:sz w:val="18"/>
              </w:rPr>
              <w:t>Clinical trial</w:t>
            </w:r>
          </w:p>
        </w:tc>
        <w:tc>
          <w:tcPr>
            <w:tcW w:type="dxa" w:w="2160"/>
          </w:tcPr>
          <w:p>
            <w:r>
              <w:rPr>
                <w:sz w:val="18"/>
              </w:rPr>
              <w:t>SUGAM</w:t>
            </w:r>
          </w:p>
        </w:tc>
        <w:tc>
          <w:tcPr>
            <w:tcW w:type="dxa" w:w="2160"/>
          </w:tcPr>
          <w:p>
            <w:r>
              <w:rPr>
                <w:sz w:val="18"/>
              </w:rPr>
              <w:t>clinical_trials (+sites)</w:t>
            </w:r>
          </w:p>
        </w:tc>
        <w:tc>
          <w:tcPr>
            <w:tcW w:type="dxa" w:w="2160"/>
          </w:tcPr>
          <w:p>
            <w:r>
              <w:rPr>
                <w:sz w:val="18"/>
              </w:rPr>
              <w:t>Link CTRI / EC approvals</w:t>
            </w:r>
          </w:p>
        </w:tc>
      </w:tr>
      <w:tr>
        <w:tc>
          <w:tcPr>
            <w:tcW w:type="dxa" w:w="2160"/>
          </w:tcPr>
          <w:p>
            <w:r>
              <w:rPr>
                <w:sz w:val="18"/>
              </w:rPr>
              <w:t>Payment / challan</w:t>
            </w:r>
          </w:p>
        </w:tc>
        <w:tc>
          <w:tcPr>
            <w:tcW w:type="dxa" w:w="2160"/>
          </w:tcPr>
          <w:p>
            <w:r>
              <w:rPr>
                <w:sz w:val="18"/>
              </w:rPr>
              <w:t>SUGAM/ONDLS</w:t>
            </w:r>
          </w:p>
        </w:tc>
        <w:tc>
          <w:tcPr>
            <w:tcW w:type="dxa" w:w="2160"/>
          </w:tcPr>
          <w:p>
            <w:r>
              <w:rPr>
                <w:sz w:val="18"/>
              </w:rPr>
              <w:t>payments</w:t>
            </w:r>
          </w:p>
        </w:tc>
        <w:tc>
          <w:tcPr>
            <w:tcW w:type="dxa" w:w="2160"/>
          </w:tcPr>
          <w:p>
            <w:r>
              <w:rPr>
                <w:sz w:val="18"/>
              </w:rPr>
              <w:t>Status PAID; map gateway</w:t>
            </w:r>
          </w:p>
        </w:tc>
      </w:tr>
      <w:tr>
        <w:tc>
          <w:tcPr>
            <w:tcW w:type="dxa" w:w="2160"/>
          </w:tcPr>
          <w:p>
            <w:r>
              <w:rPr>
                <w:sz w:val="18"/>
              </w:rPr>
              <w:t>Uploaded document</w:t>
            </w:r>
          </w:p>
        </w:tc>
        <w:tc>
          <w:tcPr>
            <w:tcW w:type="dxa" w:w="2160"/>
          </w:tcPr>
          <w:p>
            <w:r>
              <w:rPr>
                <w:sz w:val="18"/>
              </w:rPr>
              <w:t>All</w:t>
            </w:r>
          </w:p>
        </w:tc>
        <w:tc>
          <w:tcPr>
            <w:tcW w:type="dxa" w:w="2160"/>
          </w:tcPr>
          <w:p>
            <w:r>
              <w:rPr>
                <w:sz w:val="18"/>
              </w:rPr>
              <w:t>documents</w:t>
            </w:r>
          </w:p>
        </w:tc>
        <w:tc>
          <w:tcPr>
            <w:tcW w:type="dxa" w:w="2160"/>
          </w:tcPr>
          <w:p>
            <w:r>
              <w:rPr>
                <w:sz w:val="18"/>
              </w:rPr>
              <w:t>Store ref + checksum + version</w:t>
            </w:r>
          </w:p>
        </w:tc>
      </w:tr>
    </w:tbl>
    <w:p>
      <w:pPr>
        <w:pStyle w:val="Heading2"/>
      </w:pPr>
      <w:r>
        <w:t>5.2 Sample Field Mapping — Application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8"/>
              </w:rPr>
              <w:t>Source Field (legacy)</w:t>
            </w:r>
          </w:p>
        </w:tc>
        <w:tc>
          <w:tcPr>
            <w:tcW w:type="dxa" w:w="2880"/>
            <w:shd w:val="clear" w:fill="0b3d7b"/>
          </w:tcPr>
          <w:p>
            <w:r>
              <w:rPr>
                <w:b/>
                <w:color w:val="FFFFFF"/>
                <w:sz w:val="18"/>
              </w:rPr>
              <w:t>DDRS Field</w:t>
            </w:r>
          </w:p>
        </w:tc>
        <w:tc>
          <w:tcPr>
            <w:tcW w:type="dxa" w:w="2880"/>
            <w:shd w:val="clear" w:fill="0b3d7b"/>
          </w:tcPr>
          <w:p>
            <w:r>
              <w:rPr>
                <w:b/>
                <w:color w:val="FFFFFF"/>
                <w:sz w:val="18"/>
              </w:rPr>
              <w:t>Transformation</w:t>
            </w:r>
          </w:p>
        </w:tc>
      </w:tr>
      <w:tr>
        <w:tc>
          <w:tcPr>
            <w:tcW w:type="dxa" w:w="2880"/>
          </w:tcPr>
          <w:p>
            <w:r>
              <w:rPr>
                <w:sz w:val="18"/>
              </w:rPr>
              <w:t>file_no / app_no</w:t>
            </w:r>
          </w:p>
        </w:tc>
        <w:tc>
          <w:tcPr>
            <w:tcW w:type="dxa" w:w="2880"/>
          </w:tcPr>
          <w:p>
            <w:r>
              <w:rPr>
                <w:sz w:val="18"/>
              </w:rPr>
              <w:t>referenceNo</w:t>
            </w:r>
          </w:p>
        </w:tc>
        <w:tc>
          <w:tcPr>
            <w:tcW w:type="dxa" w:w="2880"/>
          </w:tcPr>
          <w:p>
            <w:r>
              <w:rPr>
                <w:sz w:val="18"/>
              </w:rPr>
              <w:t>Preserve or re-key to CDSCO/&lt;TYPE&gt;/&lt;YEAR&gt;/&lt;SEQ&gt;</w:t>
            </w:r>
          </w:p>
        </w:tc>
      </w:tr>
      <w:tr>
        <w:tc>
          <w:tcPr>
            <w:tcW w:type="dxa" w:w="2880"/>
          </w:tcPr>
          <w:p>
            <w:r>
              <w:rPr>
                <w:sz w:val="18"/>
              </w:rPr>
              <w:t>applicant_id</w:t>
            </w:r>
          </w:p>
        </w:tc>
        <w:tc>
          <w:tcPr>
            <w:tcW w:type="dxa" w:w="2880"/>
          </w:tcPr>
          <w:p>
            <w:r>
              <w:rPr>
                <w:sz w:val="18"/>
              </w:rPr>
              <w:t>organizationId</w:t>
            </w:r>
          </w:p>
        </w:tc>
        <w:tc>
          <w:tcPr>
            <w:tcW w:type="dxa" w:w="2880"/>
          </w:tcPr>
          <w:p>
            <w:r>
              <w:rPr>
                <w:sz w:val="18"/>
              </w:rPr>
              <w:t>Resolve to migrated organization UUID</w:t>
            </w:r>
          </w:p>
        </w:tc>
      </w:tr>
      <w:tr>
        <w:tc>
          <w:tcPr>
            <w:tcW w:type="dxa" w:w="2880"/>
          </w:tcPr>
          <w:p>
            <w:r>
              <w:rPr>
                <w:sz w:val="18"/>
              </w:rPr>
              <w:t>form_type</w:t>
            </w:r>
          </w:p>
        </w:tc>
        <w:tc>
          <w:tcPr>
            <w:tcW w:type="dxa" w:w="2880"/>
          </w:tcPr>
          <w:p>
            <w:r>
              <w:rPr>
                <w:sz w:val="18"/>
              </w:rPr>
              <w:t>type</w:t>
            </w:r>
          </w:p>
        </w:tc>
        <w:tc>
          <w:tcPr>
            <w:tcW w:type="dxa" w:w="2880"/>
          </w:tcPr>
          <w:p>
            <w:r>
              <w:rPr>
                <w:sz w:val="18"/>
              </w:rPr>
              <w:t>Map to ApplicationType enum</w:t>
            </w:r>
          </w:p>
        </w:tc>
      </w:tr>
      <w:tr>
        <w:tc>
          <w:tcPr>
            <w:tcW w:type="dxa" w:w="2880"/>
          </w:tcPr>
          <w:p>
            <w:r>
              <w:rPr>
                <w:sz w:val="18"/>
              </w:rPr>
              <w:t>status_code</w:t>
            </w:r>
          </w:p>
        </w:tc>
        <w:tc>
          <w:tcPr>
            <w:tcW w:type="dxa" w:w="2880"/>
          </w:tcPr>
          <w:p>
            <w:r>
              <w:rPr>
                <w:sz w:val="18"/>
              </w:rPr>
              <w:t>status</w:t>
            </w:r>
          </w:p>
        </w:tc>
        <w:tc>
          <w:tcPr>
            <w:tcW w:type="dxa" w:w="2880"/>
          </w:tcPr>
          <w:p>
            <w:r>
              <w:rPr>
                <w:sz w:val="18"/>
              </w:rPr>
              <w:t>Map to ApplicationStatus (DRAFT…ISSUED)</w:t>
            </w:r>
          </w:p>
        </w:tc>
      </w:tr>
      <w:tr>
        <w:tc>
          <w:tcPr>
            <w:tcW w:type="dxa" w:w="2880"/>
          </w:tcPr>
          <w:p>
            <w:r>
              <w:rPr>
                <w:sz w:val="18"/>
              </w:rPr>
              <w:t>submitted_on</w:t>
            </w:r>
          </w:p>
        </w:tc>
        <w:tc>
          <w:tcPr>
            <w:tcW w:type="dxa" w:w="2880"/>
          </w:tcPr>
          <w:p>
            <w:r>
              <w:rPr>
                <w:sz w:val="18"/>
              </w:rPr>
              <w:t>submittedAt</w:t>
            </w:r>
          </w:p>
        </w:tc>
        <w:tc>
          <w:tcPr>
            <w:tcW w:type="dxa" w:w="2880"/>
          </w:tcPr>
          <w:p>
            <w:r>
              <w:rPr>
                <w:sz w:val="18"/>
              </w:rPr>
              <w:t>Parse to ISO datetime</w:t>
            </w:r>
          </w:p>
        </w:tc>
      </w:tr>
      <w:tr>
        <w:tc>
          <w:tcPr>
            <w:tcW w:type="dxa" w:w="2880"/>
          </w:tcPr>
          <w:p>
            <w:r>
              <w:rPr>
                <w:sz w:val="18"/>
              </w:rPr>
              <w:t>fee_amount</w:t>
            </w:r>
          </w:p>
        </w:tc>
        <w:tc>
          <w:tcPr>
            <w:tcW w:type="dxa" w:w="2880"/>
          </w:tcPr>
          <w:p>
            <w:r>
              <w:rPr>
                <w:sz w:val="18"/>
              </w:rPr>
              <w:t>feeAmount</w:t>
            </w:r>
          </w:p>
        </w:tc>
        <w:tc>
          <w:tcPr>
            <w:tcW w:type="dxa" w:w="2880"/>
          </w:tcPr>
          <w:p>
            <w:r>
              <w:rPr>
                <w:sz w:val="18"/>
              </w:rPr>
              <w:t>Validate against fee rules</w:t>
            </w:r>
          </w:p>
        </w:tc>
      </w:tr>
      <w:tr>
        <w:tc>
          <w:tcPr>
            <w:tcW w:type="dxa" w:w="2880"/>
          </w:tcPr>
          <w:p>
            <w:r>
              <w:rPr>
                <w:sz w:val="18"/>
              </w:rPr>
              <w:t>product_category</w:t>
            </w:r>
          </w:p>
        </w:tc>
        <w:tc>
          <w:tcPr>
            <w:tcW w:type="dxa" w:w="2880"/>
          </w:tcPr>
          <w:p>
            <w:r>
              <w:rPr>
                <w:sz w:val="18"/>
              </w:rPr>
              <w:t>productCategory</w:t>
            </w:r>
          </w:p>
        </w:tc>
        <w:tc>
          <w:tcPr>
            <w:tcW w:type="dxa" w:w="2880"/>
          </w:tcPr>
          <w:p>
            <w:r>
              <w:rPr>
                <w:sz w:val="18"/>
              </w:rPr>
              <w:t>Map to ProductCategory enum</w:t>
            </w:r>
          </w:p>
        </w:tc>
      </w:tr>
      <w:tr>
        <w:tc>
          <w:tcPr>
            <w:tcW w:type="dxa" w:w="2880"/>
          </w:tcPr>
          <w:p>
            <w:r>
              <w:rPr>
                <w:sz w:val="18"/>
              </w:rPr>
              <w:t>state</w:t>
            </w:r>
          </w:p>
        </w:tc>
        <w:tc>
          <w:tcPr>
            <w:tcW w:type="dxa" w:w="2880"/>
          </w:tcPr>
          <w:p>
            <w:r>
              <w:rPr>
                <w:sz w:val="18"/>
              </w:rPr>
              <w:t>stateCode</w:t>
            </w:r>
          </w:p>
        </w:tc>
        <w:tc>
          <w:tcPr>
            <w:tcW w:type="dxa" w:w="2880"/>
          </w:tcPr>
          <w:p>
            <w:r>
              <w:rPr>
                <w:sz w:val="18"/>
              </w:rPr>
              <w:t>Map to 2-letter code</w:t>
            </w:r>
          </w:p>
        </w:tc>
      </w:tr>
    </w:tbl>
    <w:p>
      <w:r>
        <w:br w:type="page"/>
      </w:r>
    </w:p>
    <w:p>
      <w:pPr>
        <w:pStyle w:val="Heading1"/>
      </w:pPr>
      <w:r>
        <w:t>6. Data Quality, Validation &amp; Reconciliation</w:t>
      </w:r>
    </w:p>
    <w:p>
      <w:pPr>
        <w:pStyle w:val="Heading2"/>
      </w:pPr>
      <w:r>
        <w:t>6.1 Data Quality Dimensions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8"/>
              </w:rPr>
              <w:t>Dimension</w:t>
            </w:r>
          </w:p>
        </w:tc>
        <w:tc>
          <w:tcPr>
            <w:tcW w:type="dxa" w:w="4320"/>
            <w:shd w:val="clear" w:fill="0b3d7b"/>
          </w:tcPr>
          <w:p>
            <w:r>
              <w:rPr>
                <w:b/>
                <w:color w:val="FFFFFF"/>
                <w:sz w:val="18"/>
              </w:rPr>
              <w:t>Check</w:t>
            </w:r>
          </w:p>
        </w:tc>
      </w:tr>
      <w:tr>
        <w:tc>
          <w:tcPr>
            <w:tcW w:type="dxa" w:w="4320"/>
          </w:tcPr>
          <w:p>
            <w:r>
              <w:rPr>
                <w:sz w:val="18"/>
              </w:rPr>
              <w:t>Completeness</w:t>
            </w:r>
          </w:p>
        </w:tc>
        <w:tc>
          <w:tcPr>
            <w:tcW w:type="dxa" w:w="4320"/>
          </w:tcPr>
          <w:p>
            <w:r>
              <w:rPr>
                <w:sz w:val="18"/>
              </w:rPr>
              <w:t>Mandatory fields present; no truncation</w:t>
            </w:r>
          </w:p>
        </w:tc>
      </w:tr>
      <w:tr>
        <w:tc>
          <w:tcPr>
            <w:tcW w:type="dxa" w:w="4320"/>
          </w:tcPr>
          <w:p>
            <w:r>
              <w:rPr>
                <w:sz w:val="18"/>
              </w:rPr>
              <w:t>Accuracy</w:t>
            </w:r>
          </w:p>
        </w:tc>
        <w:tc>
          <w:tcPr>
            <w:tcW w:type="dxa" w:w="4320"/>
          </w:tcPr>
          <w:p>
            <w:r>
              <w:rPr>
                <w:sz w:val="18"/>
              </w:rPr>
              <w:t>Values match source / reference data</w:t>
            </w:r>
          </w:p>
        </w:tc>
      </w:tr>
      <w:tr>
        <w:tc>
          <w:tcPr>
            <w:tcW w:type="dxa" w:w="4320"/>
          </w:tcPr>
          <w:p>
            <w:r>
              <w:rPr>
                <w:sz w:val="18"/>
              </w:rPr>
              <w:t>Consistency</w:t>
            </w:r>
          </w:p>
        </w:tc>
        <w:tc>
          <w:tcPr>
            <w:tcW w:type="dxa" w:w="4320"/>
          </w:tcPr>
          <w:p>
            <w:r>
              <w:rPr>
                <w:sz w:val="18"/>
              </w:rPr>
              <w:t>Enums, codes and references normalised</w:t>
            </w:r>
          </w:p>
        </w:tc>
      </w:tr>
      <w:tr>
        <w:tc>
          <w:tcPr>
            <w:tcW w:type="dxa" w:w="4320"/>
          </w:tcPr>
          <w:p>
            <w:r>
              <w:rPr>
                <w:sz w:val="18"/>
              </w:rPr>
              <w:t>Uniqueness</w:t>
            </w:r>
          </w:p>
        </w:tc>
        <w:tc>
          <w:tcPr>
            <w:tcW w:type="dxa" w:w="4320"/>
          </w:tcPr>
          <w:p>
            <w:r>
              <w:rPr>
                <w:sz w:val="18"/>
              </w:rPr>
              <w:t>No duplicates (entities, products, persons)</w:t>
            </w:r>
          </w:p>
        </w:tc>
      </w:tr>
      <w:tr>
        <w:tc>
          <w:tcPr>
            <w:tcW w:type="dxa" w:w="4320"/>
          </w:tcPr>
          <w:p>
            <w:r>
              <w:rPr>
                <w:sz w:val="18"/>
              </w:rPr>
              <w:t>Integrity</w:t>
            </w:r>
          </w:p>
        </w:tc>
        <w:tc>
          <w:tcPr>
            <w:tcW w:type="dxa" w:w="4320"/>
          </w:tcPr>
          <w:p>
            <w:r>
              <w:rPr>
                <w:sz w:val="18"/>
              </w:rPr>
              <w:t>All foreign keys resolve; no orphans</w:t>
            </w:r>
          </w:p>
        </w:tc>
      </w:tr>
      <w:tr>
        <w:tc>
          <w:tcPr>
            <w:tcW w:type="dxa" w:w="4320"/>
          </w:tcPr>
          <w:p>
            <w:r>
              <w:rPr>
                <w:sz w:val="18"/>
              </w:rPr>
              <w:t>Validity</w:t>
            </w:r>
          </w:p>
        </w:tc>
        <w:tc>
          <w:tcPr>
            <w:tcW w:type="dxa" w:w="4320"/>
          </w:tcPr>
          <w:p>
            <w:r>
              <w:rPr>
                <w:sz w:val="18"/>
              </w:rPr>
              <w:t>Conforms to DDRS validation rules</w:t>
            </w:r>
          </w:p>
        </w:tc>
      </w:tr>
    </w:tbl>
    <w:p>
      <w:pPr>
        <w:pStyle w:val="Heading2"/>
      </w:pPr>
      <w:r>
        <w:t>6.2 Reconciliation</w:t>
      </w:r>
    </w:p>
    <w:p>
      <w:pPr>
        <w:pStyle w:val="ListBullet"/>
        <w:ind w:left="432"/>
      </w:pPr>
      <w:r>
        <w:t>Per-entity source vs target row counts with variance log.</w:t>
      </w:r>
    </w:p>
    <w:p>
      <w:pPr>
        <w:pStyle w:val="ListBullet"/>
        <w:ind w:left="432"/>
      </w:pPr>
      <w:r>
        <w:t>Checksum/hash comparison for documents.</w:t>
      </w:r>
    </w:p>
    <w:p>
      <w:pPr>
        <w:pStyle w:val="ListBullet"/>
        <w:ind w:left="432"/>
      </w:pPr>
      <w:r>
        <w:t>Business-rule validation (e.g., licence validity, status legality).</w:t>
      </w:r>
    </w:p>
    <w:p>
      <w:pPr>
        <w:pStyle w:val="ListBullet"/>
        <w:ind w:left="432"/>
      </w:pPr>
      <w:r>
        <w:t>Statistical and sample-based manual audits with sign-off.</w:t>
      </w:r>
    </w:p>
    <w:p>
      <w:pPr>
        <w:pStyle w:val="Heading2"/>
      </w:pPr>
      <w:r>
        <w:t>6.3 Acceptance Criteria</w:t>
      </w:r>
    </w:p>
    <w:p>
      <w:pPr>
        <w:pStyle w:val="ListBullet"/>
        <w:ind w:left="432"/>
      </w:pPr>
      <w:r>
        <w:t>100% of in-scope records migrated or formally exception-listed.</w:t>
      </w:r>
    </w:p>
    <w:p>
      <w:pPr>
        <w:pStyle w:val="ListBullet"/>
        <w:ind w:left="432"/>
      </w:pPr>
      <w:r>
        <w:t>Reconciliation variance within agreed tolerance (target 0 for critical data).</w:t>
      </w:r>
    </w:p>
    <w:p>
      <w:pPr>
        <w:pStyle w:val="ListBullet"/>
        <w:ind w:left="432"/>
      </w:pPr>
      <w:r>
        <w:t>No unresolved referential-integrity errors.</w:t>
      </w:r>
    </w:p>
    <w:p>
      <w:pPr>
        <w:pStyle w:val="ListBullet"/>
        <w:ind w:left="432"/>
      </w:pPr>
      <w:r>
        <w:t>CDSCO sign-off per wave before production promotion.</w:t>
      </w:r>
    </w:p>
    <w:p>
      <w:r>
        <w:br w:type="page"/>
      </w:r>
    </w:p>
    <w:p>
      <w:pPr>
        <w:pStyle w:val="Heading1"/>
      </w:pPr>
      <w:r>
        <w:t>7. Cutover, Rollback &amp; Tools</w:t>
      </w:r>
    </w:p>
    <w:p>
      <w:pPr>
        <w:pStyle w:val="Heading2"/>
      </w:pPr>
      <w:r>
        <w:t>7.1 Cutover &amp; Parallel Run</w:t>
      </w:r>
    </w:p>
    <w:p>
      <w:r>
        <w:rPr>
          <w:b w:val="0"/>
          <w:i w:val="0"/>
        </w:rPr>
        <w:t>Each wave runs DDRS in parallel with the legacy system for a defined window; delta records are captured and applied; users are switched at cutover with hypercare support.</w:t>
      </w:r>
    </w:p>
    <w:p>
      <w:pPr>
        <w:pStyle w:val="Heading2"/>
      </w:pPr>
      <w:r>
        <w:t>7.2 Rollback</w:t>
      </w:r>
    </w:p>
    <w:p>
      <w:r>
        <w:rPr>
          <w:b w:val="0"/>
          <w:i w:val="0"/>
        </w:rPr>
        <w:t>Every load is reversible: staging snapshots and pre-load backups allow a wave to be rolled back without affecting previously migrated, signed-off data.</w:t>
      </w:r>
    </w:p>
    <w:p>
      <w:pPr>
        <w:pStyle w:val="Heading2"/>
      </w:pPr>
      <w:r>
        <w:t>7.3 Tooling</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8"/>
              </w:rPr>
              <w:t>Concern</w:t>
            </w:r>
          </w:p>
        </w:tc>
        <w:tc>
          <w:tcPr>
            <w:tcW w:type="dxa" w:w="4320"/>
            <w:shd w:val="clear" w:fill="0b3d7b"/>
          </w:tcPr>
          <w:p>
            <w:r>
              <w:rPr>
                <w:b/>
                <w:color w:val="FFFFFF"/>
                <w:sz w:val="18"/>
              </w:rPr>
              <w:t>Approach</w:t>
            </w:r>
          </w:p>
        </w:tc>
      </w:tr>
      <w:tr>
        <w:tc>
          <w:tcPr>
            <w:tcW w:type="dxa" w:w="4320"/>
          </w:tcPr>
          <w:p>
            <w:r>
              <w:rPr>
                <w:sz w:val="18"/>
              </w:rPr>
              <w:t>Extraction</w:t>
            </w:r>
          </w:p>
        </w:tc>
        <w:tc>
          <w:tcPr>
            <w:tcW w:type="dxa" w:w="4320"/>
          </w:tcPr>
          <w:p>
            <w:r>
              <w:rPr>
                <w:sz w:val="18"/>
              </w:rPr>
              <w:t>Source DB connectors / API exports / CSV-TSV</w:t>
            </w:r>
          </w:p>
        </w:tc>
      </w:tr>
      <w:tr>
        <w:tc>
          <w:tcPr>
            <w:tcW w:type="dxa" w:w="4320"/>
          </w:tcPr>
          <w:p>
            <w:r>
              <w:rPr>
                <w:sz w:val="18"/>
              </w:rPr>
              <w:t>Staging</w:t>
            </w:r>
          </w:p>
        </w:tc>
        <w:tc>
          <w:tcPr>
            <w:tcW w:type="dxa" w:w="4320"/>
          </w:tcPr>
          <w:p>
            <w:r>
              <w:rPr>
                <w:sz w:val="18"/>
              </w:rPr>
              <w:t>Isolated schema with data-quality rules and audit</w:t>
            </w:r>
          </w:p>
        </w:tc>
      </w:tr>
      <w:tr>
        <w:tc>
          <w:tcPr>
            <w:tcW w:type="dxa" w:w="4320"/>
          </w:tcPr>
          <w:p>
            <w:r>
              <w:rPr>
                <w:sz w:val="18"/>
              </w:rPr>
              <w:t>Transform/Load</w:t>
            </w:r>
          </w:p>
        </w:tc>
        <w:tc>
          <w:tcPr>
            <w:tcW w:type="dxa" w:w="4320"/>
          </w:tcPr>
          <w:p>
            <w:r>
              <w:rPr>
                <w:sz w:val="18"/>
              </w:rPr>
              <w:t>Scripted ETL into DDRS (TypeORM/SQL), batched</w:t>
            </w:r>
          </w:p>
        </w:tc>
      </w:tr>
      <w:tr>
        <w:tc>
          <w:tcPr>
            <w:tcW w:type="dxa" w:w="4320"/>
          </w:tcPr>
          <w:p>
            <w:r>
              <w:rPr>
                <w:sz w:val="18"/>
              </w:rPr>
              <w:t>Validation</w:t>
            </w:r>
          </w:p>
        </w:tc>
        <w:tc>
          <w:tcPr>
            <w:tcW w:type="dxa" w:w="4320"/>
          </w:tcPr>
          <w:p>
            <w:r>
              <w:rPr>
                <w:sz w:val="18"/>
              </w:rPr>
              <w:t>Automated reconciliation reports + dashboards</w:t>
            </w:r>
          </w:p>
        </w:tc>
      </w:tr>
      <w:tr>
        <w:tc>
          <w:tcPr>
            <w:tcW w:type="dxa" w:w="4320"/>
          </w:tcPr>
          <w:p>
            <w:r>
              <w:rPr>
                <w:sz w:val="18"/>
              </w:rPr>
              <w:t>Documents</w:t>
            </w:r>
          </w:p>
        </w:tc>
        <w:tc>
          <w:tcPr>
            <w:tcW w:type="dxa" w:w="4320"/>
          </w:tcPr>
          <w:p>
            <w:r>
              <w:rPr>
                <w:sz w:val="18"/>
              </w:rPr>
              <w:t>Object storage with checksum + version capture</w:t>
            </w:r>
          </w:p>
        </w:tc>
      </w:tr>
    </w:tbl>
    <w:p>
      <w:r>
        <w:br w:type="page"/>
      </w:r>
    </w:p>
    <w:p>
      <w:pPr>
        <w:pStyle w:val="Heading1"/>
      </w:pPr>
      <w:r>
        <w:t>8. Governance, RACI, Risks &amp; Schedule</w:t>
      </w:r>
    </w:p>
    <w:p>
      <w:pPr>
        <w:pStyle w:val="Heading2"/>
      </w:pPr>
      <w:r>
        <w:t>8.1 RACI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0b3d7b"/>
          </w:tcPr>
          <w:p>
            <w:r>
              <w:rPr>
                <w:b/>
                <w:color w:val="FFFFFF"/>
                <w:sz w:val="18"/>
              </w:rPr>
              <w:t>Activity</w:t>
            </w:r>
          </w:p>
        </w:tc>
        <w:tc>
          <w:tcPr>
            <w:tcW w:type="dxa" w:w="1728"/>
            <w:shd w:val="clear" w:fill="0b3d7b"/>
          </w:tcPr>
          <w:p>
            <w:r>
              <w:rPr>
                <w:b/>
                <w:color w:val="FFFFFF"/>
                <w:sz w:val="18"/>
              </w:rPr>
              <w:t>CDSCO</w:t>
            </w:r>
          </w:p>
        </w:tc>
        <w:tc>
          <w:tcPr>
            <w:tcW w:type="dxa" w:w="1728"/>
            <w:shd w:val="clear" w:fill="0b3d7b"/>
          </w:tcPr>
          <w:p>
            <w:r>
              <w:rPr>
                <w:b/>
                <w:color w:val="FFFFFF"/>
                <w:sz w:val="18"/>
              </w:rPr>
              <w:t>SSP</w:t>
            </w:r>
          </w:p>
        </w:tc>
        <w:tc>
          <w:tcPr>
            <w:tcW w:type="dxa" w:w="1728"/>
            <w:shd w:val="clear" w:fill="0b3d7b"/>
          </w:tcPr>
          <w:p>
            <w:r>
              <w:rPr>
                <w:b/>
                <w:color w:val="FFFFFF"/>
                <w:sz w:val="18"/>
              </w:rPr>
              <w:t>Source Owner</w:t>
            </w:r>
          </w:p>
        </w:tc>
        <w:tc>
          <w:tcPr>
            <w:tcW w:type="dxa" w:w="1728"/>
            <w:shd w:val="clear" w:fill="0b3d7b"/>
          </w:tcPr>
          <w:p>
            <w:r>
              <w:rPr>
                <w:b/>
                <w:color w:val="FFFFFF"/>
                <w:sz w:val="18"/>
              </w:rPr>
              <w:t>DBA</w:t>
            </w:r>
          </w:p>
        </w:tc>
      </w:tr>
      <w:tr>
        <w:tc>
          <w:tcPr>
            <w:tcW w:type="dxa" w:w="1728"/>
          </w:tcPr>
          <w:p>
            <w:r>
              <w:rPr>
                <w:sz w:val="18"/>
              </w:rPr>
              <w:t>Source access &amp; schemas</w:t>
            </w:r>
          </w:p>
        </w:tc>
        <w:tc>
          <w:tcPr>
            <w:tcW w:type="dxa" w:w="1728"/>
          </w:tcPr>
          <w:p>
            <w:r>
              <w:rPr>
                <w:sz w:val="18"/>
              </w:rPr>
              <w:t>A</w:t>
            </w:r>
          </w:p>
        </w:tc>
        <w:tc>
          <w:tcPr>
            <w:tcW w:type="dxa" w:w="1728"/>
          </w:tcPr>
          <w:p>
            <w:r>
              <w:rPr>
                <w:sz w:val="18"/>
              </w:rPr>
              <w:t>C</w:t>
            </w:r>
          </w:p>
        </w:tc>
        <w:tc>
          <w:tcPr>
            <w:tcW w:type="dxa" w:w="1728"/>
          </w:tcPr>
          <w:p>
            <w:r>
              <w:rPr>
                <w:sz w:val="18"/>
              </w:rPr>
              <w:t>R</w:t>
            </w:r>
          </w:p>
        </w:tc>
        <w:tc>
          <w:tcPr>
            <w:tcW w:type="dxa" w:w="1728"/>
          </w:tcPr>
          <w:p>
            <w:r>
              <w:rPr>
                <w:sz w:val="18"/>
              </w:rPr>
              <w:t>C</w:t>
            </w:r>
          </w:p>
        </w:tc>
      </w:tr>
      <w:tr>
        <w:tc>
          <w:tcPr>
            <w:tcW w:type="dxa" w:w="1728"/>
          </w:tcPr>
          <w:p>
            <w:r>
              <w:rPr>
                <w:sz w:val="18"/>
              </w:rPr>
              <w:t>Profiling &amp; mapping</w:t>
            </w:r>
          </w:p>
        </w:tc>
        <w:tc>
          <w:tcPr>
            <w:tcW w:type="dxa" w:w="1728"/>
          </w:tcPr>
          <w:p>
            <w:r>
              <w:rPr>
                <w:sz w:val="18"/>
              </w:rPr>
              <w:t>A</w:t>
            </w:r>
          </w:p>
        </w:tc>
        <w:tc>
          <w:tcPr>
            <w:tcW w:type="dxa" w:w="1728"/>
          </w:tcPr>
          <w:p>
            <w:r>
              <w:rPr>
                <w:sz w:val="18"/>
              </w:rPr>
              <w:t>R</w:t>
            </w:r>
          </w:p>
        </w:tc>
        <w:tc>
          <w:tcPr>
            <w:tcW w:type="dxa" w:w="1728"/>
          </w:tcPr>
          <w:p>
            <w:r>
              <w:rPr>
                <w:sz w:val="18"/>
              </w:rPr>
              <w:t>C</w:t>
            </w:r>
          </w:p>
        </w:tc>
        <w:tc>
          <w:tcPr>
            <w:tcW w:type="dxa" w:w="1728"/>
          </w:tcPr>
          <w:p>
            <w:r>
              <w:rPr>
                <w:sz w:val="18"/>
              </w:rPr>
              <w:t>C</w:t>
            </w:r>
          </w:p>
        </w:tc>
      </w:tr>
      <w:tr>
        <w:tc>
          <w:tcPr>
            <w:tcW w:type="dxa" w:w="1728"/>
          </w:tcPr>
          <w:p>
            <w:r>
              <w:rPr>
                <w:sz w:val="18"/>
              </w:rPr>
              <w:t>Cleansing rules</w:t>
            </w:r>
          </w:p>
        </w:tc>
        <w:tc>
          <w:tcPr>
            <w:tcW w:type="dxa" w:w="1728"/>
          </w:tcPr>
          <w:p>
            <w:r>
              <w:rPr>
                <w:sz w:val="18"/>
              </w:rPr>
              <w:t>A</w:t>
            </w:r>
          </w:p>
        </w:tc>
        <w:tc>
          <w:tcPr>
            <w:tcW w:type="dxa" w:w="1728"/>
          </w:tcPr>
          <w:p>
            <w:r>
              <w:rPr>
                <w:sz w:val="18"/>
              </w:rPr>
              <w:t>R</w:t>
            </w:r>
          </w:p>
        </w:tc>
        <w:tc>
          <w:tcPr>
            <w:tcW w:type="dxa" w:w="1728"/>
          </w:tcPr>
          <w:p>
            <w:r>
              <w:rPr>
                <w:sz w:val="18"/>
              </w:rPr>
              <w:t>C</w:t>
            </w:r>
          </w:p>
        </w:tc>
        <w:tc>
          <w:tcPr>
            <w:tcW w:type="dxa" w:w="1728"/>
          </w:tcPr>
          <w:p>
            <w:r>
              <w:rPr>
                <w:sz w:val="18"/>
              </w:rPr>
              <w:t>I</w:t>
            </w:r>
          </w:p>
        </w:tc>
      </w:tr>
      <w:tr>
        <w:tc>
          <w:tcPr>
            <w:tcW w:type="dxa" w:w="1728"/>
          </w:tcPr>
          <w:p>
            <w:r>
              <w:rPr>
                <w:sz w:val="18"/>
              </w:rPr>
              <w:t>ETL build &amp; load</w:t>
            </w:r>
          </w:p>
        </w:tc>
        <w:tc>
          <w:tcPr>
            <w:tcW w:type="dxa" w:w="1728"/>
          </w:tcPr>
          <w:p>
            <w:r>
              <w:rPr>
                <w:sz w:val="18"/>
              </w:rPr>
              <w:t>I</w:t>
            </w:r>
          </w:p>
        </w:tc>
        <w:tc>
          <w:tcPr>
            <w:tcW w:type="dxa" w:w="1728"/>
          </w:tcPr>
          <w:p>
            <w:r>
              <w:rPr>
                <w:sz w:val="18"/>
              </w:rPr>
              <w:t>R</w:t>
            </w:r>
          </w:p>
        </w:tc>
        <w:tc>
          <w:tcPr>
            <w:tcW w:type="dxa" w:w="1728"/>
          </w:tcPr>
          <w:p>
            <w:r>
              <w:rPr>
                <w:sz w:val="18"/>
              </w:rPr>
              <w:t>I</w:t>
            </w:r>
          </w:p>
        </w:tc>
        <w:tc>
          <w:tcPr>
            <w:tcW w:type="dxa" w:w="1728"/>
          </w:tcPr>
          <w:p>
            <w:r>
              <w:rPr>
                <w:sz w:val="18"/>
              </w:rPr>
              <w:t>C</w:t>
            </w:r>
          </w:p>
        </w:tc>
      </w:tr>
      <w:tr>
        <w:tc>
          <w:tcPr>
            <w:tcW w:type="dxa" w:w="1728"/>
          </w:tcPr>
          <w:p>
            <w:r>
              <w:rPr>
                <w:sz w:val="18"/>
              </w:rPr>
              <w:t>Validation &amp; reconciliation</w:t>
            </w:r>
          </w:p>
        </w:tc>
        <w:tc>
          <w:tcPr>
            <w:tcW w:type="dxa" w:w="1728"/>
          </w:tcPr>
          <w:p>
            <w:r>
              <w:rPr>
                <w:sz w:val="18"/>
              </w:rPr>
              <w:t>A</w:t>
            </w:r>
          </w:p>
        </w:tc>
        <w:tc>
          <w:tcPr>
            <w:tcW w:type="dxa" w:w="1728"/>
          </w:tcPr>
          <w:p>
            <w:r>
              <w:rPr>
                <w:sz w:val="18"/>
              </w:rPr>
              <w:t>R</w:t>
            </w:r>
          </w:p>
        </w:tc>
        <w:tc>
          <w:tcPr>
            <w:tcW w:type="dxa" w:w="1728"/>
          </w:tcPr>
          <w:p>
            <w:r>
              <w:rPr>
                <w:sz w:val="18"/>
              </w:rPr>
              <w:t>C</w:t>
            </w:r>
          </w:p>
        </w:tc>
        <w:tc>
          <w:tcPr>
            <w:tcW w:type="dxa" w:w="1728"/>
          </w:tcPr>
          <w:p>
            <w:r>
              <w:rPr>
                <w:sz w:val="18"/>
              </w:rPr>
              <w:t>C</w:t>
            </w:r>
          </w:p>
        </w:tc>
      </w:tr>
      <w:tr>
        <w:tc>
          <w:tcPr>
            <w:tcW w:type="dxa" w:w="1728"/>
          </w:tcPr>
          <w:p>
            <w:r>
              <w:rPr>
                <w:sz w:val="18"/>
              </w:rPr>
              <w:t>Cutover sign-off</w:t>
            </w:r>
          </w:p>
        </w:tc>
        <w:tc>
          <w:tcPr>
            <w:tcW w:type="dxa" w:w="1728"/>
          </w:tcPr>
          <w:p>
            <w:r>
              <w:rPr>
                <w:sz w:val="18"/>
              </w:rPr>
              <w:t>A</w:t>
            </w:r>
          </w:p>
        </w:tc>
        <w:tc>
          <w:tcPr>
            <w:tcW w:type="dxa" w:w="1728"/>
          </w:tcPr>
          <w:p>
            <w:r>
              <w:rPr>
                <w:sz w:val="18"/>
              </w:rPr>
              <w:t>C</w:t>
            </w:r>
          </w:p>
        </w:tc>
        <w:tc>
          <w:tcPr>
            <w:tcW w:type="dxa" w:w="1728"/>
          </w:tcPr>
          <w:p>
            <w:r>
              <w:rPr>
                <w:sz w:val="18"/>
              </w:rPr>
              <w:t>C</w:t>
            </w:r>
          </w:p>
        </w:tc>
        <w:tc>
          <w:tcPr>
            <w:tcW w:type="dxa" w:w="1728"/>
          </w:tcPr>
          <w:p>
            <w:r>
              <w:rPr>
                <w:sz w:val="18"/>
              </w:rPr>
              <w:t>I</w:t>
            </w:r>
          </w:p>
        </w:tc>
      </w:tr>
    </w:tbl>
    <w:p>
      <w:pPr>
        <w:pStyle w:val="Heading2"/>
      </w:pPr>
      <w:r>
        <w:t>8.2 Risks &amp; Mitigations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b3d7b"/>
          </w:tcPr>
          <w:p>
            <w:r>
              <w:rPr>
                <w:b/>
                <w:color w:val="FFFFFF"/>
                <w:sz w:val="18"/>
              </w:rPr>
              <w:t>Risk</w:t>
            </w:r>
          </w:p>
        </w:tc>
        <w:tc>
          <w:tcPr>
            <w:tcW w:type="dxa" w:w="4320"/>
            <w:shd w:val="clear" w:fill="0b3d7b"/>
          </w:tcPr>
          <w:p>
            <w:r>
              <w:rPr>
                <w:b/>
                <w:color w:val="FFFFFF"/>
                <w:sz w:val="18"/>
              </w:rPr>
              <w:t>Mitigation</w:t>
            </w:r>
          </w:p>
        </w:tc>
      </w:tr>
      <w:tr>
        <w:tc>
          <w:tcPr>
            <w:tcW w:type="dxa" w:w="4320"/>
          </w:tcPr>
          <w:p>
            <w:r>
              <w:rPr>
                <w:sz w:val="18"/>
              </w:rPr>
              <w:t>Poor legacy data quality</w:t>
            </w:r>
          </w:p>
        </w:tc>
        <w:tc>
          <w:tcPr>
            <w:tcW w:type="dxa" w:w="4320"/>
          </w:tcPr>
          <w:p>
            <w:r>
              <w:rPr>
                <w:sz w:val="18"/>
              </w:rPr>
              <w:t>Early profiling; cleansing rules; exception handling</w:t>
            </w:r>
          </w:p>
        </w:tc>
      </w:tr>
      <w:tr>
        <w:tc>
          <w:tcPr>
            <w:tcW w:type="dxa" w:w="4320"/>
          </w:tcPr>
          <w:p>
            <w:r>
              <w:rPr>
                <w:sz w:val="18"/>
              </w:rPr>
              <w:t>Schema ambiguity</w:t>
            </w:r>
          </w:p>
        </w:tc>
        <w:tc>
          <w:tcPr>
            <w:tcW w:type="dxa" w:w="4320"/>
          </w:tcPr>
          <w:p>
            <w:r>
              <w:rPr>
                <w:sz w:val="18"/>
              </w:rPr>
              <w:t>Workshops with system owners; iterative mapping</w:t>
            </w:r>
          </w:p>
        </w:tc>
      </w:tr>
      <w:tr>
        <w:tc>
          <w:tcPr>
            <w:tcW w:type="dxa" w:w="4320"/>
          </w:tcPr>
          <w:p>
            <w:r>
              <w:rPr>
                <w:sz w:val="18"/>
              </w:rPr>
              <w:t>Large document volume (24.3 TB)</w:t>
            </w:r>
          </w:p>
        </w:tc>
        <w:tc>
          <w:tcPr>
            <w:tcW w:type="dxa" w:w="4320"/>
          </w:tcPr>
          <w:p>
            <w:r>
              <w:rPr>
                <w:sz w:val="18"/>
              </w:rPr>
              <w:t>Phased document migration; checksum verification</w:t>
            </w:r>
          </w:p>
        </w:tc>
      </w:tr>
      <w:tr>
        <w:tc>
          <w:tcPr>
            <w:tcW w:type="dxa" w:w="4320"/>
          </w:tcPr>
          <w:p>
            <w:r>
              <w:rPr>
                <w:sz w:val="18"/>
              </w:rPr>
              <w:t>Downtime risk</w:t>
            </w:r>
          </w:p>
        </w:tc>
        <w:tc>
          <w:tcPr>
            <w:tcW w:type="dxa" w:w="4320"/>
          </w:tcPr>
          <w:p>
            <w:r>
              <w:rPr>
                <w:sz w:val="18"/>
              </w:rPr>
              <w:t>Parallel run + delta capture + scheduled cutover windows</w:t>
            </w:r>
          </w:p>
        </w:tc>
      </w:tr>
      <w:tr>
        <w:tc>
          <w:tcPr>
            <w:tcW w:type="dxa" w:w="4320"/>
          </w:tcPr>
          <w:p>
            <w:r>
              <w:rPr>
                <w:sz w:val="18"/>
              </w:rPr>
              <w:t>Referential gaps</w:t>
            </w:r>
          </w:p>
        </w:tc>
        <w:tc>
          <w:tcPr>
            <w:tcW w:type="dxa" w:w="4320"/>
          </w:tcPr>
          <w:p>
            <w:r>
              <w:rPr>
                <w:sz w:val="18"/>
              </w:rPr>
              <w:t>Dependency-ordered loading; orphan resolution</w:t>
            </w:r>
          </w:p>
        </w:tc>
      </w:tr>
      <w:tr>
        <w:tc>
          <w:tcPr>
            <w:tcW w:type="dxa" w:w="4320"/>
          </w:tcPr>
          <w:p>
            <w:r>
              <w:rPr>
                <w:sz w:val="18"/>
              </w:rPr>
              <w:t>Sensitive data exposure</w:t>
            </w:r>
          </w:p>
        </w:tc>
        <w:tc>
          <w:tcPr>
            <w:tcW w:type="dxa" w:w="4320"/>
          </w:tcPr>
          <w:p>
            <w:r>
              <w:rPr>
                <w:sz w:val="18"/>
              </w:rPr>
              <w:t>Encryption, access control, masked non-prod data</w:t>
            </w:r>
          </w:p>
        </w:tc>
      </w:tr>
    </w:tbl>
    <w:p>
      <w:pPr>
        <w:pStyle w:val="Heading2"/>
      </w:pPr>
      <w:r>
        <w:t>8.3 Indicative Schedule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3d7b"/>
          </w:tcPr>
          <w:p>
            <w:r>
              <w:rPr>
                <w:b/>
                <w:color w:val="FFFFFF"/>
                <w:sz w:val="18"/>
              </w:rPr>
              <w:t>Wave</w:t>
            </w:r>
          </w:p>
        </w:tc>
        <w:tc>
          <w:tcPr>
            <w:tcW w:type="dxa" w:w="2880"/>
            <w:shd w:val="clear" w:fill="0b3d7b"/>
          </w:tcPr>
          <w:p>
            <w:r>
              <w:rPr>
                <w:b/>
                <w:color w:val="FFFFFF"/>
                <w:sz w:val="18"/>
              </w:rPr>
              <w:t>Scope</w:t>
            </w:r>
          </w:p>
        </w:tc>
        <w:tc>
          <w:tcPr>
            <w:tcW w:type="dxa" w:w="2880"/>
            <w:shd w:val="clear" w:fill="0b3d7b"/>
          </w:tcPr>
          <w:p>
            <w:r>
              <w:rPr>
                <w:b/>
                <w:color w:val="FFFFFF"/>
                <w:sz w:val="18"/>
              </w:rPr>
              <w:t>Window</w:t>
            </w:r>
          </w:p>
        </w:tc>
      </w:tr>
      <w:tr>
        <w:tc>
          <w:tcPr>
            <w:tcW w:type="dxa" w:w="2880"/>
          </w:tcPr>
          <w:p>
            <w:r>
              <w:rPr>
                <w:sz w:val="18"/>
              </w:rPr>
              <w:t>W0</w:t>
            </w:r>
          </w:p>
        </w:tc>
        <w:tc>
          <w:tcPr>
            <w:tcW w:type="dxa" w:w="2880"/>
          </w:tcPr>
          <w:p>
            <w:r>
              <w:rPr>
                <w:sz w:val="18"/>
              </w:rPr>
              <w:t>Assessment, profiling, mapping, tooling</w:t>
            </w:r>
          </w:p>
        </w:tc>
        <w:tc>
          <w:tcPr>
            <w:tcW w:type="dxa" w:w="2880"/>
          </w:tcPr>
          <w:p>
            <w:r>
              <w:rPr>
                <w:sz w:val="18"/>
              </w:rPr>
              <w:t>Months 1–2</w:t>
            </w:r>
          </w:p>
        </w:tc>
      </w:tr>
      <w:tr>
        <w:tc>
          <w:tcPr>
            <w:tcW w:type="dxa" w:w="2880"/>
          </w:tcPr>
          <w:p>
            <w:r>
              <w:rPr>
                <w:sz w:val="18"/>
              </w:rPr>
              <w:t>W1</w:t>
            </w:r>
          </w:p>
        </w:tc>
        <w:tc>
          <w:tcPr>
            <w:tcW w:type="dxa" w:w="2880"/>
          </w:tcPr>
          <w:p>
            <w:r>
              <w:rPr>
                <w:sz w:val="18"/>
              </w:rPr>
              <w:t>Central master + SUGAM/MD core</w:t>
            </w:r>
          </w:p>
        </w:tc>
        <w:tc>
          <w:tcPr>
            <w:tcW w:type="dxa" w:w="2880"/>
          </w:tcPr>
          <w:p>
            <w:r>
              <w:rPr>
                <w:sz w:val="18"/>
              </w:rPr>
              <w:t>Months 2–4</w:t>
            </w:r>
          </w:p>
        </w:tc>
      </w:tr>
      <w:tr>
        <w:tc>
          <w:tcPr>
            <w:tcW w:type="dxa" w:w="2880"/>
          </w:tcPr>
          <w:p>
            <w:r>
              <w:rPr>
                <w:sz w:val="18"/>
              </w:rPr>
              <w:t>W2</w:t>
            </w:r>
          </w:p>
        </w:tc>
        <w:tc>
          <w:tcPr>
            <w:tcW w:type="dxa" w:w="2880"/>
          </w:tcPr>
          <w:p>
            <w:r>
              <w:rPr>
                <w:sz w:val="18"/>
              </w:rPr>
              <w:t>SUGAM LABS + high-volume States (ONDLS)</w:t>
            </w:r>
          </w:p>
        </w:tc>
        <w:tc>
          <w:tcPr>
            <w:tcW w:type="dxa" w:w="2880"/>
          </w:tcPr>
          <w:p>
            <w:r>
              <w:rPr>
                <w:sz w:val="18"/>
              </w:rPr>
              <w:t>Months 4–7</w:t>
            </w:r>
          </w:p>
        </w:tc>
      </w:tr>
      <w:tr>
        <w:tc>
          <w:tcPr>
            <w:tcW w:type="dxa" w:w="2880"/>
          </w:tcPr>
          <w:p>
            <w:r>
              <w:rPr>
                <w:sz w:val="18"/>
              </w:rPr>
              <w:t>W3</w:t>
            </w:r>
          </w:p>
        </w:tc>
        <w:tc>
          <w:tcPr>
            <w:tcW w:type="dxa" w:w="2880"/>
          </w:tcPr>
          <w:p>
            <w:r>
              <w:rPr>
                <w:sz w:val="18"/>
              </w:rPr>
              <w:t>Remaining States/UTs + documents</w:t>
            </w:r>
          </w:p>
        </w:tc>
        <w:tc>
          <w:tcPr>
            <w:tcW w:type="dxa" w:w="2880"/>
          </w:tcPr>
          <w:p>
            <w:r>
              <w:rPr>
                <w:sz w:val="18"/>
              </w:rPr>
              <w:t>Months 7–10</w:t>
            </w:r>
          </w:p>
        </w:tc>
      </w:tr>
      <w:tr>
        <w:tc>
          <w:tcPr>
            <w:tcW w:type="dxa" w:w="2880"/>
          </w:tcPr>
          <w:p>
            <w:r>
              <w:rPr>
                <w:sz w:val="18"/>
              </w:rPr>
              <w:t>W4</w:t>
            </w:r>
          </w:p>
        </w:tc>
        <w:tc>
          <w:tcPr>
            <w:tcW w:type="dxa" w:w="2880"/>
          </w:tcPr>
          <w:p>
            <w:r>
              <w:rPr>
                <w:sz w:val="18"/>
              </w:rPr>
              <w:t>Delta, reconciliation close-out, archive</w:t>
            </w:r>
          </w:p>
        </w:tc>
        <w:tc>
          <w:tcPr>
            <w:tcW w:type="dxa" w:w="2880"/>
          </w:tcPr>
          <w:p>
            <w:r>
              <w:rPr>
                <w:sz w:val="18"/>
              </w:rPr>
              <w:t>Months 10–12</w:t>
            </w:r>
          </w:p>
        </w:tc>
      </w:tr>
    </w:tbl>
    <w:p>
      <w:r>
        <w:br w:type="page"/>
      </w:r>
    </w:p>
    <w:p>
      <w:pPr>
        <w:pStyle w:val="Heading1"/>
      </w:pPr>
      <w:r>
        <w:t>Appendix A — Reconciliation Report Template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0b3d7b"/>
          </w:tcPr>
          <w:p>
            <w:r>
              <w:rPr>
                <w:b/>
                <w:color w:val="FFFFFF"/>
                <w:sz w:val="18"/>
              </w:rPr>
              <w:t>Entity</w:t>
            </w:r>
          </w:p>
        </w:tc>
        <w:tc>
          <w:tcPr>
            <w:tcW w:type="dxa" w:w="1440"/>
            <w:shd w:val="clear" w:fill="0b3d7b"/>
          </w:tcPr>
          <w:p>
            <w:r>
              <w:rPr>
                <w:b/>
                <w:color w:val="FFFFFF"/>
                <w:sz w:val="18"/>
              </w:rPr>
              <w:t>Source count</w:t>
            </w:r>
          </w:p>
        </w:tc>
        <w:tc>
          <w:tcPr>
            <w:tcW w:type="dxa" w:w="1440"/>
            <w:shd w:val="clear" w:fill="0b3d7b"/>
          </w:tcPr>
          <w:p>
            <w:r>
              <w:rPr>
                <w:b/>
                <w:color w:val="FFFFFF"/>
                <w:sz w:val="18"/>
              </w:rPr>
              <w:t>Target count</w:t>
            </w:r>
          </w:p>
        </w:tc>
        <w:tc>
          <w:tcPr>
            <w:tcW w:type="dxa" w:w="1440"/>
            <w:shd w:val="clear" w:fill="0b3d7b"/>
          </w:tcPr>
          <w:p>
            <w:r>
              <w:rPr>
                <w:b/>
                <w:color w:val="FFFFFF"/>
                <w:sz w:val="18"/>
              </w:rPr>
              <w:t>Variance</w:t>
            </w:r>
          </w:p>
        </w:tc>
        <w:tc>
          <w:tcPr>
            <w:tcW w:type="dxa" w:w="1440"/>
            <w:shd w:val="clear" w:fill="0b3d7b"/>
          </w:tcPr>
          <w:p>
            <w:r>
              <w:rPr>
                <w:b/>
                <w:color w:val="FFFFFF"/>
                <w:sz w:val="18"/>
              </w:rPr>
              <w:t>Exceptions</w:t>
            </w:r>
          </w:p>
        </w:tc>
        <w:tc>
          <w:tcPr>
            <w:tcW w:type="dxa" w:w="1440"/>
            <w:shd w:val="clear" w:fill="0b3d7b"/>
          </w:tcPr>
          <w:p>
            <w:r>
              <w:rPr>
                <w:b/>
                <w:color w:val="FFFFFF"/>
                <w:sz w:val="18"/>
              </w:rPr>
              <w:t>Status</w:t>
            </w:r>
          </w:p>
        </w:tc>
      </w:tr>
      <w:tr>
        <w:tc>
          <w:tcPr>
            <w:tcW w:type="dxa" w:w="1440"/>
          </w:tcPr>
          <w:p>
            <w:r>
              <w:rPr>
                <w:sz w:val="18"/>
              </w:rPr>
              <w:t>organizations</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products</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applications</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licenses</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samples</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bl>
    <w:p>
      <w:pPr>
        <w:pStyle w:val="Heading1"/>
      </w:pPr>
      <w:r>
        <w:t>Appendix B — Mapping Specification Template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0b3d7b"/>
          </w:tcPr>
          <w:p>
            <w:r>
              <w:rPr>
                <w:b/>
                <w:color w:val="FFFFFF"/>
                <w:sz w:val="18"/>
              </w:rPr>
              <w:t>Source field</w:t>
            </w:r>
          </w:p>
        </w:tc>
        <w:tc>
          <w:tcPr>
            <w:tcW w:type="dxa" w:w="1440"/>
            <w:shd w:val="clear" w:fill="0b3d7b"/>
          </w:tcPr>
          <w:p>
            <w:r>
              <w:rPr>
                <w:b/>
                <w:color w:val="FFFFFF"/>
                <w:sz w:val="18"/>
              </w:rPr>
              <w:t>Type</w:t>
            </w:r>
          </w:p>
        </w:tc>
        <w:tc>
          <w:tcPr>
            <w:tcW w:type="dxa" w:w="1440"/>
            <w:shd w:val="clear" w:fill="0b3d7b"/>
          </w:tcPr>
          <w:p>
            <w:r>
              <w:rPr>
                <w:b/>
                <w:color w:val="FFFFFF"/>
                <w:sz w:val="18"/>
              </w:rPr>
              <w:t>DDRS field</w:t>
            </w:r>
          </w:p>
        </w:tc>
        <w:tc>
          <w:tcPr>
            <w:tcW w:type="dxa" w:w="1440"/>
            <w:shd w:val="clear" w:fill="0b3d7b"/>
          </w:tcPr>
          <w:p>
            <w:r>
              <w:rPr>
                <w:b/>
                <w:color w:val="FFFFFF"/>
                <w:sz w:val="18"/>
              </w:rPr>
              <w:t>Type</w:t>
            </w:r>
          </w:p>
        </w:tc>
        <w:tc>
          <w:tcPr>
            <w:tcW w:type="dxa" w:w="1440"/>
            <w:shd w:val="clear" w:fill="0b3d7b"/>
          </w:tcPr>
          <w:p>
            <w:r>
              <w:rPr>
                <w:b/>
                <w:color w:val="FFFFFF"/>
                <w:sz w:val="18"/>
              </w:rPr>
              <w:t>Rule</w:t>
            </w:r>
          </w:p>
        </w:tc>
        <w:tc>
          <w:tcPr>
            <w:tcW w:type="dxa" w:w="1440"/>
            <w:shd w:val="clear" w:fill="0b3d7b"/>
          </w:tcPr>
          <w:p>
            <w:r>
              <w:rPr>
                <w:b/>
                <w:color w:val="FFFFFF"/>
                <w:sz w:val="18"/>
              </w:rPr>
              <w:t>Default</w:t>
            </w:r>
          </w:p>
        </w:tc>
      </w:tr>
      <w:tr>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bl>
    <w:p>
      <w:r>
        <w:rPr>
          <w:b w:val="0"/>
          <w:i w:val="0"/>
        </w:rPr>
        <w:br/>
      </w:r>
    </w:p>
    <w:p>
      <w:pPr>
        <w:jc w:val="center"/>
      </w:pPr>
      <w:r>
        <w:rPr>
          <w:b/>
          <w:i w:val="0"/>
          <w:color w:val="0B3D7B"/>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7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7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3D7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3D7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