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i w:val="0"/>
          <w:color w:val="0B3D7B"/>
          <w:sz w:val="28"/>
        </w:rPr>
        <w:t>GOVERNMENT OF INDIA</w:t>
      </w:r>
    </w:p>
    <w:p>
      <w:pPr>
        <w:jc w:val="center"/>
      </w:pPr>
      <w:r>
        <w:rPr>
          <w:b w:val="0"/>
          <w:i w:val="0"/>
          <w:color w:val="55606B"/>
          <w:sz w:val="22"/>
        </w:rPr>
        <w:t>Ministry of Health &amp; Family Welfare · Directorate General of Health Services</w:t>
      </w:r>
    </w:p>
    <w:p>
      <w:pPr>
        <w:jc w:val="center"/>
      </w:pPr>
      <w:r>
        <w:rPr>
          <w:b/>
          <w:i w:val="0"/>
          <w:color w:val="0B3D7B"/>
          <w:sz w:val="26"/>
        </w:rPr>
        <w:t>Central Drugs Standard Control Organization (CDSCO)</w:t>
      </w:r>
    </w:p>
    <w:p>
      <w:r>
        <w:br/>
        <w:br/>
      </w:r>
    </w:p>
    <w:p>
      <w:pPr>
        <w:jc w:val="center"/>
      </w:pPr>
      <w:r>
        <w:rPr>
          <w:b/>
          <w:i w:val="0"/>
          <w:color w:val="0B3D7B"/>
          <w:sz w:val="46"/>
        </w:rPr>
        <w:t>DIGITAL DRUGS REGULATORY SYSTEM (DDRS)</w:t>
      </w:r>
    </w:p>
    <w:p>
      <w:pPr>
        <w:jc w:val="center"/>
      </w:pPr>
      <w:r>
        <w:rPr>
          <w:b/>
          <w:i w:val="0"/>
          <w:color w:val="C06010"/>
          <w:sz w:val="36"/>
        </w:rPr>
        <w:t>Transition, Refactoring, Migration, Upgradation &amp; Maintenance Plan</w:t>
      </w:r>
    </w:p>
    <w:p>
      <w:pPr>
        <w:jc w:val="center"/>
      </w:pPr>
      <w:r>
        <w:rPr>
          <w:b w:val="0"/>
          <w:i w:val="0"/>
          <w:color w:val="55606B"/>
          <w:sz w:val="24"/>
        </w:rPr>
        <w:t>Operating and Evolving the DDRS Portal Post Go-Live</w:t>
      </w:r>
    </w:p>
    <w:p>
      <w:r>
        <w:br/>
        <w:br/>
        <w:br/>
      </w:r>
    </w:p>
    <w:p>
      <w:pPr>
        <w:jc w:val="center"/>
      </w:pPr>
      <w:r>
        <w:rPr>
          <w:b/>
          <w:i w:val="0"/>
          <w:sz w:val="24"/>
        </w:rPr>
        <w:t>Document Version 1.0</w:t>
      </w:r>
    </w:p>
    <w:p>
      <w:pPr>
        <w:jc w:val="center"/>
      </w:pPr>
      <w:r>
        <w:rPr>
          <w:b w:val="0"/>
          <w:i w:val="0"/>
          <w:color w:val="55606B"/>
          <w:sz w:val="22"/>
        </w:rPr>
        <w:t>Date: 31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Right-click and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Introduction &amp; Objectives</w:t>
      </w:r>
    </w:p>
    <w:p>
      <w:r>
        <w:rPr>
          <w:b w:val="0"/>
          <w:i w:val="0"/>
        </w:rPr>
        <w:t>This plan describes how the DDRS portal will be transitioned, refactored, migrated, upgraded and maintained after Go-Live, ensuring continuous, secure and high-quality service over the operations period and a clean eventual exit/handover.</w:t>
      </w:r>
    </w:p>
    <w:p>
      <w:pPr>
        <w:pStyle w:val="ListBullet"/>
        <w:ind w:left="432"/>
      </w:pPr>
      <w:r>
        <w:t>Sustain agreed service levels (availability, performance, security).</w:t>
      </w:r>
    </w:p>
    <w:p>
      <w:pPr>
        <w:pStyle w:val="ListBullet"/>
        <w:ind w:left="432"/>
      </w:pPr>
      <w:r>
        <w:t>Continuously improve the platform without disrupting operations.</w:t>
      </w:r>
    </w:p>
    <w:p>
      <w:pPr>
        <w:pStyle w:val="ListBullet"/>
        <w:ind w:left="432"/>
      </w:pPr>
      <w:r>
        <w:t>Keep the codebase clean, modular and microservices-ready.</w:t>
      </w:r>
    </w:p>
    <w:p>
      <w:pPr>
        <w:pStyle w:val="ListBullet"/>
        <w:ind w:left="432"/>
      </w:pPr>
      <w:r>
        <w:t>Maintain complete, current documentation and transferable knowledge.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88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tion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— Transition &amp; post-Go-Live lifecycle.</w:t>
      </w:r>
    </w:p>
    <w:p>
      <w:r>
        <w:br w:type="page"/>
      </w:r>
    </w:p>
    <w:p>
      <w:pPr>
        <w:pStyle w:val="Heading1"/>
      </w:pPr>
      <w:r>
        <w:t>2. Transition &amp; Knowledge Acquisition</w:t>
      </w:r>
    </w:p>
    <w:p>
      <w:pPr>
        <w:pStyle w:val="ListBullet"/>
        <w:ind w:left="432"/>
      </w:pPr>
      <w:r>
        <w:t>Structured knowledge acquisition: architecture, code, data, runbooks.</w:t>
      </w:r>
    </w:p>
    <w:p>
      <w:pPr>
        <w:pStyle w:val="ListBullet"/>
        <w:ind w:left="432"/>
      </w:pPr>
      <w:r>
        <w:t>Shadowing and reverse-KT with outgoing teams (where applicable).</w:t>
      </w:r>
    </w:p>
    <w:p>
      <w:pPr>
        <w:pStyle w:val="ListBullet"/>
        <w:ind w:left="432"/>
      </w:pPr>
      <w:r>
        <w:t>Environment, repository, CI/CD and credentials handover with inventory.</w:t>
      </w:r>
    </w:p>
    <w:p>
      <w:pPr>
        <w:pStyle w:val="ListBullet"/>
        <w:ind w:left="432"/>
      </w:pPr>
      <w:r>
        <w:t>Baseline of SLAs, backlog, known issues and technical debt.</w:t>
      </w:r>
    </w:p>
    <w:p>
      <w:r>
        <w:br w:type="page"/>
      </w:r>
    </w:p>
    <w:p>
      <w:pPr>
        <w:pStyle w:val="Heading1"/>
      </w:pPr>
      <w:r>
        <w:t>3. Refactoring Strategy</w:t>
      </w:r>
    </w:p>
    <w:p>
      <w:r>
        <w:rPr>
          <w:b w:val="0"/>
          <w:i w:val="0"/>
        </w:rPr>
        <w:t>DDRS is a modular monolith that is microservices-ready: each domain is isolated behind a documented OpenAPI contract. Refactoring is continuous and contract-safe.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Tech-debt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Debt register; allocate capacity each iteration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Modular boundaries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Keep domains decoupled; extract to services when load demands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Code 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Typed code, lint gates, tests, peer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Backward-compatible changes; deprecation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Profiling, indexing, query/pagination tuning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Reusability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utilities (pagination, reference/QR, audit)</w:t>
            </w:r>
          </w:p>
        </w:tc>
      </w:tr>
    </w:tbl>
    <w:p>
      <w:r>
        <w:br w:type="page"/>
      </w:r>
    </w:p>
    <w:p>
      <w:pPr>
        <w:pStyle w:val="Heading1"/>
      </w:pPr>
      <w:r>
        <w:t>4. Migration (Environment &amp; Data)</w:t>
      </w:r>
    </w:p>
    <w:p>
      <w:pPr>
        <w:pStyle w:val="ListBullet"/>
        <w:ind w:left="432"/>
      </w:pPr>
      <w:r>
        <w:t>Development SQLite → production PostgreSQL via DB_TYPE config (portable schema).</w:t>
      </w:r>
    </w:p>
    <w:p>
      <w:pPr>
        <w:pStyle w:val="ListBullet"/>
        <w:ind w:left="432"/>
      </w:pPr>
      <w:r>
        <w:t>Schema evolution via controlled migrations; no destructive changes in prod.</w:t>
      </w:r>
    </w:p>
    <w:p>
      <w:pPr>
        <w:pStyle w:val="ListBullet"/>
        <w:ind w:left="432"/>
      </w:pPr>
      <w:r>
        <w:t>Data migration/backfills run in maintenance windows with backups and rollback.</w:t>
      </w:r>
    </w:p>
    <w:p>
      <w:pPr>
        <w:pStyle w:val="ListBullet"/>
        <w:ind w:left="432"/>
      </w:pPr>
      <w:r>
        <w:t>Zero/low-downtime techniques (expand-contract schema changes).</w:t>
      </w:r>
    </w:p>
    <w:p>
      <w:r>
        <w:br w:type="page"/>
      </w:r>
    </w:p>
    <w:p>
      <w:pPr>
        <w:pStyle w:val="Heading1"/>
      </w:pPr>
      <w:r>
        <w:t>5. Upgradation &amp; Release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Practice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Trunk-based with protected main; PR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Lint → test → build → image → deploy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Blue-green / canary; health checks; instant rollback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flags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Decouple deploy from release; controlled exposure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Semantic versioning; documented release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windows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Scheduled, communicated; emergency-change path</w:t>
            </w:r>
          </w:p>
        </w:tc>
      </w:tr>
    </w:tbl>
    <w:p>
      <w:r>
        <w:br w:type="page"/>
      </w:r>
    </w:p>
    <w:p>
      <w:pPr>
        <w:pStyle w:val="Heading1"/>
      </w:pPr>
      <w:r>
        <w:t>6. Maintenance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defects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Bug fixes, hotfixes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Adapt to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Rule/Act updates, new integrations, OS/lib updates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Perfective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Performance, UX, new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Preventive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Prevent issues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Refactoring, patching, capacity tuning</w:t>
            </w:r>
          </w:p>
        </w:tc>
      </w:tr>
    </w:tbl>
    <w:p>
      <w:pPr>
        <w:pStyle w:val="Heading2"/>
      </w:pPr>
      <w:r>
        <w:t>6.1 Support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L1 Helpdesk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IVRS/ticket intake, triage, FAQs, password/access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L2 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issues, configuration, data fixes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L3 Engineering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 defects, performance, integrations, DB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Vendor/3rd-party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Cloud, gateways, external systems</w:t>
            </w:r>
          </w:p>
        </w:tc>
      </w:tr>
    </w:tbl>
    <w:p>
      <w:pPr>
        <w:pStyle w:val="Heading2"/>
      </w:pPr>
      <w:r>
        <w:t>6.2 Indicative SLAs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S1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S2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S3 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S4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business 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business days</w:t>
            </w:r>
          </w:p>
        </w:tc>
      </w:tr>
    </w:tbl>
    <w:p>
      <w:r>
        <w:br w:type="page"/>
      </w:r>
    </w:p>
    <w:p>
      <w:pPr>
        <w:pStyle w:val="Heading1"/>
      </w:pPr>
      <w:r>
        <w:t>7. Operations: Monitoring, Security, Backup &amp; DR</w:t>
      </w:r>
    </w:p>
    <w:p>
      <w:pPr>
        <w:pStyle w:val="Heading2"/>
      </w:pPr>
      <w:r>
        <w:t>7.1 Monitoring &amp; Observability</w:t>
      </w:r>
    </w:p>
    <w:p>
      <w:pPr>
        <w:pStyle w:val="ListBullet"/>
        <w:ind w:left="432"/>
      </w:pPr>
      <w:r>
        <w:t>Health endpoint probes; uptime and latency monitoring.</w:t>
      </w:r>
    </w:p>
    <w:p>
      <w:pPr>
        <w:pStyle w:val="ListBullet"/>
        <w:ind w:left="432"/>
      </w:pPr>
      <w:r>
        <w:t>Structured logs, metrics and tracing; alerting on thresholds.</w:t>
      </w:r>
    </w:p>
    <w:p>
      <w:pPr>
        <w:pStyle w:val="ListBullet"/>
        <w:ind w:left="432"/>
      </w:pPr>
      <w:r>
        <w:t>Audit-trail and integration-log review for anomalies.</w:t>
      </w:r>
    </w:p>
    <w:p>
      <w:pPr>
        <w:pStyle w:val="Heading2"/>
      </w:pPr>
      <w:r>
        <w:t>7.2 Security Operations</w:t>
      </w:r>
    </w:p>
    <w:p>
      <w:pPr>
        <w:pStyle w:val="ListBullet"/>
        <w:ind w:left="432"/>
      </w:pPr>
      <w:r>
        <w:t>Regular CERT-In empanelled audits; vulnerability scanning and patching.</w:t>
      </w:r>
    </w:p>
    <w:p>
      <w:pPr>
        <w:pStyle w:val="ListBullet"/>
        <w:ind w:left="432"/>
      </w:pPr>
      <w:r>
        <w:t>Secret rotation (JWT, DB, gateway keys); least-privilege access.</w:t>
      </w:r>
    </w:p>
    <w:p>
      <w:pPr>
        <w:pStyle w:val="ListBullet"/>
        <w:ind w:left="432"/>
      </w:pPr>
      <w:r>
        <w:t>Incident response plan with defined severities and comms.</w:t>
      </w:r>
    </w:p>
    <w:p>
      <w:pPr>
        <w:pStyle w:val="Heading2"/>
      </w:pPr>
      <w:r>
        <w:t>7.3 Backup, DR &amp; BCP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Backup frequency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Daily full + frequent incrementals (PostgreSQL)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15 minutes (PITR)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1 hour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Cross-zone/region restore drills; runbook-tested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 policy; audit logs archived off-site</w:t>
            </w:r>
          </w:p>
        </w:tc>
      </w:tr>
    </w:tbl>
    <w:p>
      <w:r>
        <w:br w:type="page"/>
      </w:r>
    </w:p>
    <w:p>
      <w:pPr>
        <w:pStyle w:val="Heading1"/>
      </w:pPr>
      <w:r>
        <w:t>8. Change Management, Documentation &amp; Governance</w:t>
      </w:r>
    </w:p>
    <w:p>
      <w:pPr>
        <w:pStyle w:val="ListBullet"/>
        <w:ind w:left="432"/>
      </w:pPr>
      <w:r>
        <w:t>Change Control Board reviews significant changes (CCB).</w:t>
      </w:r>
    </w:p>
    <w:p>
      <w:pPr>
        <w:pStyle w:val="ListBullet"/>
        <w:ind w:left="432"/>
      </w:pPr>
      <w:r>
        <w:t>Living documentation: SAD, runbooks, API docs, change logs kept current.</w:t>
      </w:r>
    </w:p>
    <w:p>
      <w:pPr>
        <w:pStyle w:val="ListBullet"/>
        <w:ind w:left="432"/>
      </w:pPr>
      <w:r>
        <w:t>Periodic reviews (Tech Ops, Architecture Review) and reporting.</w:t>
      </w:r>
    </w:p>
    <w:p>
      <w:pPr>
        <w:pStyle w:val="Heading2"/>
      </w:pPr>
      <w:r>
        <w:t>8.1 Governance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CDSCO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SSP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CCB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Roadmap &amp; priorities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Releases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Emergency 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reporting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</w:t>
            </w:r>
          </w:p>
        </w:tc>
      </w:tr>
    </w:tbl>
    <w:p>
      <w:r>
        <w:br w:type="page"/>
      </w:r>
    </w:p>
    <w:p>
      <w:pPr>
        <w:pStyle w:val="Heading1"/>
      </w:pPr>
      <w:r>
        <w:t>9. Exit / Transition Management</w:t>
      </w:r>
    </w:p>
    <w:p>
      <w:r>
        <w:rPr>
          <w:b w:val="0"/>
          <w:i w:val="0"/>
        </w:rPr>
        <w:t>On contract end or transition to a new provider, the SSP ensures a clean, complete handover with no service disruption.</w:t>
      </w:r>
    </w:p>
    <w:p>
      <w:pPr>
        <w:pStyle w:val="ListBullet"/>
        <w:ind w:left="432"/>
      </w:pPr>
      <w:r>
        <w:t>Updated transition plan and complete documentation handover.</w:t>
      </w:r>
    </w:p>
    <w:p>
      <w:pPr>
        <w:pStyle w:val="ListBullet"/>
        <w:ind w:left="432"/>
      </w:pPr>
      <w:r>
        <w:t>Full source code, configuration, infrastructure-as-code and data export.</w:t>
      </w:r>
    </w:p>
    <w:p>
      <w:pPr>
        <w:pStyle w:val="ListBullet"/>
        <w:ind w:left="432"/>
      </w:pPr>
      <w:r>
        <w:t>Inventory of assets, credentials and access; knowledge-transfer sessions.</w:t>
      </w:r>
    </w:p>
    <w:p>
      <w:pPr>
        <w:pStyle w:val="ListBullet"/>
        <w:ind w:left="432"/>
      </w:pPr>
      <w:r>
        <w:t>Walk-throughs/demos; defined acceptance of handover by CDSCO/new vendor.</w:t>
      </w:r>
    </w:p>
    <w:p>
      <w:pPr>
        <w:pStyle w:val="Heading1"/>
      </w:pPr>
      <w:r>
        <w:t>10. Risks &amp;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 loss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Documentation + cross-training + recorded 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Regression on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tests + canary + rollback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 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Continuous scanning + patch cadence + audits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CCB-governed change control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99.5% monthly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S1 resolution within 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success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Mean time to recover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1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Documentation currency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per release</w:t>
            </w:r>
          </w:p>
        </w:tc>
      </w:tr>
    </w:tbl>
    <w:p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  <w:color w:val="0B3D7B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7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7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D7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