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i w:val="0"/>
          <w:color w:val="0B3D7B"/>
          <w:sz w:val="28"/>
        </w:rPr>
        <w:t>GOVERNMENT OF INDIA</w:t>
      </w:r>
    </w:p>
    <w:p>
      <w:pPr>
        <w:jc w:val="center"/>
      </w:pPr>
      <w:r>
        <w:rPr>
          <w:b w:val="0"/>
          <w:i w:val="0"/>
          <w:color w:val="55606B"/>
          <w:sz w:val="22"/>
        </w:rPr>
        <w:t>Ministry of Health &amp; Family Welfare · Directorate General of Health Services</w:t>
      </w:r>
    </w:p>
    <w:p>
      <w:pPr>
        <w:jc w:val="center"/>
      </w:pPr>
      <w:r>
        <w:rPr>
          <w:b/>
          <w:i w:val="0"/>
          <w:color w:val="0B3D7B"/>
          <w:sz w:val="26"/>
        </w:rPr>
        <w:t>Central Drugs Standard Control Organization (CDSCO)</w:t>
      </w:r>
    </w:p>
    <w:p>
      <w:r>
        <w:br/>
        <w:br/>
      </w:r>
    </w:p>
    <w:p>
      <w:pPr>
        <w:jc w:val="center"/>
      </w:pPr>
      <w:r>
        <w:rPr>
          <w:b/>
          <w:i w:val="0"/>
          <w:color w:val="0B3D7B"/>
          <w:sz w:val="48"/>
        </w:rPr>
        <w:t>DIGITAL DRUGS REGULATORY SYSTEM (DDRS)</w:t>
      </w:r>
    </w:p>
    <w:p>
      <w:pPr>
        <w:jc w:val="center"/>
      </w:pPr>
      <w:r>
        <w:rPr>
          <w:b/>
          <w:i w:val="0"/>
          <w:color w:val="C06010"/>
          <w:sz w:val="36"/>
        </w:rPr>
        <w:t>CAPACITY BUILDING &amp; TRAINING PLAN</w:t>
      </w:r>
    </w:p>
    <w:p>
      <w:r>
        <w:br/>
        <w:br/>
        <w:br/>
      </w:r>
    </w:p>
    <w:p>
      <w:pPr>
        <w:jc w:val="center"/>
      </w:pPr>
      <w:r>
        <w:rPr>
          <w:b/>
          <w:i w:val="0"/>
          <w:sz w:val="24"/>
        </w:rPr>
        <w:t>Document Version 1.0</w:t>
      </w:r>
    </w:p>
    <w:p>
      <w:pPr>
        <w:jc w:val="center"/>
      </w:pPr>
      <w:r>
        <w:rPr>
          <w:b w:val="0"/>
          <w:i w:val="0"/>
          <w:color w:val="55606B"/>
          <w:sz w:val="22"/>
        </w:rPr>
        <w:t>Date: 31 May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 &amp; Change Mgmt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 May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 &amp; Change Mgmt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Baseline release</w:t>
            </w:r>
          </w:p>
        </w:tc>
      </w:tr>
    </w:tbl>
    <w:p>
      <w:pPr>
        <w:pStyle w:val="Heading2"/>
      </w:pPr>
      <w:r>
        <w:t>Purpose</w:t>
      </w:r>
    </w:p>
    <w:p>
      <w:r>
        <w:rPr>
          <w:b w:val="0"/>
          <w:i w:val="0"/>
        </w:rPr>
        <w:t>This Capacity Building &amp; Training Plan defines the strategy, curricula, schedules, delivery methods, materials, assessment and governance for equipping all DDRS stakeholders — CDSCO officers, State Licensing Authorities, testing laboratories, industry and the public — with the knowledge and skills to use the platform effectively. It covers a phased rollout across all 36 States/UTs and the full three-year operations period.</w:t>
      </w:r>
    </w:p>
    <w:p>
      <w:pPr>
        <w:pStyle w:val="Heading2"/>
      </w:pPr>
      <w:r>
        <w:t>Scope</w:t>
      </w:r>
    </w:p>
    <w:p>
      <w:pPr>
        <w:pStyle w:val="ListBullet"/>
        <w:ind w:left="432"/>
      </w:pPr>
      <w:r>
        <w:t>Role-based training for all 19 DDRS user roles across five portals.</w:t>
      </w:r>
    </w:p>
    <w:p>
      <w:pPr>
        <w:pStyle w:val="ListBullet"/>
        <w:ind w:left="432"/>
      </w:pPr>
      <w:r>
        <w:t>Train-the-trainer (ToT) and master-trainer cadre development.</w:t>
      </w:r>
    </w:p>
    <w:p>
      <w:pPr>
        <w:pStyle w:val="ListBullet"/>
        <w:ind w:left="432"/>
      </w:pPr>
      <w:r>
        <w:t>E-learning, instructor-led, hands-on lab, webinars and on-site sessions.</w:t>
      </w:r>
    </w:p>
    <w:p>
      <w:pPr>
        <w:pStyle w:val="ListBullet"/>
        <w:ind w:left="432"/>
      </w:pPr>
      <w:r>
        <w:t>Training materials: manuals, quick-reference guides, videos, simulations.</w:t>
      </w:r>
    </w:p>
    <w:p>
      <w:pPr>
        <w:pStyle w:val="ListBullet"/>
        <w:ind w:left="432"/>
      </w:pPr>
      <w:r>
        <w:t>State onboarding programme and phased rollout schedule.</w:t>
      </w:r>
    </w:p>
    <w:p>
      <w:pPr>
        <w:pStyle w:val="ListBullet"/>
        <w:ind w:left="432"/>
      </w:pPr>
      <w:r>
        <w:t>Assessment, certification, feedback and continuous improvement.</w:t>
      </w:r>
    </w:p>
    <w:p>
      <w:pPr>
        <w:pStyle w:val="ListBullet"/>
        <w:ind w:left="432"/>
      </w:pPr>
      <w:r>
        <w:t>Helpdesk, knowledge base and post-go-live support.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Right-click and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Training Strategy &amp; Approach</w:t>
      </w:r>
    </w:p>
    <w:p>
      <w:r>
        <w:rPr>
          <w:b w:val="0"/>
          <w:i w:val="0"/>
        </w:rPr>
        <w:t>The capacity-building programme follows a blended, role-based, competency-driven approach designed for a geographically distributed, multi-stakeholder audience. It uses the ADDIE instructional design model (Analyse, Design, Develop, Implement, Evaluate) and a train-the-trainer multiplier model to scale across 36 States/UTs.</w:t>
      </w:r>
    </w:p>
    <w:p>
      <w:pPr>
        <w:pStyle w:val="Heading2"/>
      </w:pPr>
      <w:r>
        <w:t>1.1 Objectives</w:t>
      </w:r>
    </w:p>
    <w:p>
      <w:pPr>
        <w:pStyle w:val="ListBullet"/>
        <w:ind w:left="432"/>
      </w:pPr>
      <w:r>
        <w:t>Enable every user role to perform its DDRS tasks confidently and correctly.</w:t>
      </w:r>
    </w:p>
    <w:p>
      <w:pPr>
        <w:pStyle w:val="ListBullet"/>
        <w:ind w:left="432"/>
      </w:pPr>
      <w:r>
        <w:t>Reduce support tickets and processing errors through proficiency.</w:t>
      </w:r>
    </w:p>
    <w:p>
      <w:pPr>
        <w:pStyle w:val="ListBullet"/>
        <w:ind w:left="432"/>
      </w:pPr>
      <w:r>
        <w:t>Build a self-sustaining master-trainer cadre within CDSCO and the States.</w:t>
      </w:r>
    </w:p>
    <w:p>
      <w:pPr>
        <w:pStyle w:val="ListBullet"/>
        <w:ind w:left="432"/>
      </w:pPr>
      <w:r>
        <w:t>Drive adoption, data quality and timely (SLA-compliant) processing.</w:t>
      </w:r>
    </w:p>
    <w:p>
      <w:pPr>
        <w:pStyle w:val="ListBullet"/>
        <w:ind w:left="432"/>
      </w:pPr>
      <w:r>
        <w:t>Institutionalise continuous learning and knowledge management.</w:t>
      </w:r>
    </w:p>
    <w:p>
      <w:pPr>
        <w:pStyle w:val="Heading2"/>
      </w:pPr>
      <w:r>
        <w:t>1.2 Guiding Principles</w:t>
      </w:r>
    </w:p>
    <w:p>
      <w:pPr>
        <w:pStyle w:val="ListBullet"/>
        <w:ind w:left="432"/>
      </w:pPr>
      <w:r>
        <w:t>Role-based: curricula tailored to each role’s portal and tasks.</w:t>
      </w:r>
    </w:p>
    <w:p>
      <w:pPr>
        <w:pStyle w:val="ListBullet"/>
        <w:ind w:left="432"/>
      </w:pPr>
      <w:r>
        <w:t>Blended: e-learning + instructor-led + hands-on sandbox practice.</w:t>
      </w:r>
    </w:p>
    <w:p>
      <w:pPr>
        <w:pStyle w:val="ListBullet"/>
        <w:ind w:left="432"/>
      </w:pPr>
      <w:r>
        <w:t>Hands-on first: practice on a seeded training environment, not slides alone.</w:t>
      </w:r>
    </w:p>
    <w:p>
      <w:pPr>
        <w:pStyle w:val="ListBullet"/>
        <w:ind w:left="432"/>
      </w:pPr>
      <w:r>
        <w:t>Multilingual: English and Hindi, with regional language support where needed.</w:t>
      </w:r>
    </w:p>
    <w:p>
      <w:pPr>
        <w:pStyle w:val="ListBullet"/>
        <w:ind w:left="432"/>
      </w:pPr>
      <w:r>
        <w:t>Accessible: GIGW-aligned materials; self-paced options for flexibility.</w:t>
      </w:r>
    </w:p>
    <w:p>
      <w:pPr>
        <w:pStyle w:val="ListBullet"/>
        <w:ind w:left="432"/>
      </w:pPr>
      <w:r>
        <w:t>Measured: assessments, certification and Kirkpatrick-level evaluation.</w:t>
      </w:r>
    </w:p>
    <w:p>
      <w:pPr>
        <w:pStyle w:val="Heading2"/>
      </w:pPr>
      <w:r>
        <w:t>1.3 Blended Learning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E-learning (self-paced)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Foundation, refreshers, just-in-time micro-modules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Instructor-led (virtual)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tracks, Q&amp;A, scenario walkthroughs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Hands-on lab (sandbox)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Guided practice on seeded environment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Webinars / workshops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Updates, advanced topics, communities of practice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</w:tr>
    </w:tbl>
    <w:p>
      <w:r>
        <w:br w:type="page"/>
      </w:r>
    </w:p>
    <w:p>
      <w:pPr>
        <w:pStyle w:val="Heading1"/>
      </w:pPr>
      <w:r>
        <w:t>2. Stakeholder &amp; Training-Needs Analysis</w:t>
      </w:r>
    </w:p>
    <w:p>
      <w:r>
        <w:rPr>
          <w:b w:val="0"/>
          <w:i w:val="0"/>
        </w:rPr>
        <w:t>Training needs are mapped to the 19 DDRS roles and the five portals. The matrix below shows the target proficiency per role across the principal modules (F=Foundation, I=Intermediate, A=Advanced).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75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Roles mapped to portals (drives the role-based curricula).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Portal</w:t>
            </w:r>
          </w:p>
        </w:tc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Applications</w:t>
            </w:r>
          </w:p>
        </w:tc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Inspections/Enf.</w:t>
            </w:r>
          </w:p>
        </w:tc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Lab</w:t>
            </w:r>
          </w:p>
        </w:tc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Vigilance</w:t>
            </w:r>
          </w:p>
        </w:tc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Analytics</w:t>
            </w:r>
          </w:p>
        </w:tc>
        <w:tc>
          <w:tcPr>
            <w:tcW w:type="dxa" w:w="1080"/>
            <w:shd w:val="clear" w:fill="0b3d7b"/>
          </w:tcPr>
          <w:p>
            <w:r>
              <w:rPr>
                <w:b/>
                <w:color w:val="FFFFFF"/>
                <w:sz w:val="17"/>
              </w:rPr>
              <w:t>Admin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DCGI / ADC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CDSCO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Review Officer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CDSCO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Drug Inspector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CDSCO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Port Officer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CDSCO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State Licensing Authority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State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State Drug Inspector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State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Lab Manager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Lab Analyst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Manufacturer/Importer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Wholesaler/Retailer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CRO / Ethics Committee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Blood Centre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Technical Person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Super Admin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Public User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</w:t>
            </w:r>
          </w:p>
        </w:tc>
      </w:tr>
    </w:tbl>
    <w:p>
      <w:r>
        <w:rPr>
          <w:b w:val="0"/>
          <w:i w:val="0"/>
        </w:rPr>
        <w:t>Approximate audience sizing: ~6,500 internal users (CDSCO + States + labs) and a large external base (~10 lakh stakeholders) trained primarily through self-paced e-learning, webinars and the public knowledge base.</w:t>
      </w:r>
    </w:p>
    <w:p>
      <w:r>
        <w:br w:type="page"/>
      </w:r>
    </w:p>
    <w:p>
      <w:pPr>
        <w:pStyle w:val="Heading1"/>
      </w:pPr>
      <w:r>
        <w:t>3. Curriculum &amp; Course Catalogue</w:t>
      </w:r>
    </w:p>
    <w:p>
      <w:r>
        <w:rPr>
          <w:b w:val="0"/>
          <w:i w:val="0"/>
        </w:rPr>
        <w:t>The curriculum is organised into a common Foundation track, role-specific tracks mapped to portals, and specialised Administration, Integration and Security tracks.</w:t>
      </w:r>
    </w:p>
    <w:p>
      <w:pPr>
        <w:pStyle w:val="Heading2"/>
      </w:pPr>
      <w:r>
        <w:t>3.1 Curriculum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70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B"/>
          <w:sz w:val="18"/>
        </w:rPr>
        <w:t>Module/portal map underpinning the role tracks.</w:t>
      </w:r>
    </w:p>
    <w:p>
      <w:pPr>
        <w:pStyle w:val="Heading2"/>
      </w:pPr>
      <w:r>
        <w:t>3.2 Course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7"/>
              </w:rPr>
              <w:t>Course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1440"/>
            <w:shd w:val="clear" w:fill="0b3d7b"/>
          </w:tcPr>
          <w:p>
            <w:r>
              <w:rPr>
                <w:b/>
                <w:color w:val="FFFFFF"/>
                <w:sz w:val="17"/>
              </w:rPr>
              <w:t>Prereq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DDRS-F01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DDRS Overview &amp; Navigation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roles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E-learning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DDRS-F02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Login, MFA (OTP/Aadhaar) &amp; Profile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roles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E-learning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DDRS-F03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Dashboards, Search, Filters &amp; Notifications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roles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E-learning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DDRS-F04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Data Protection, Audit &amp; Responsible Use (DPDP)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All roles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E-learning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DDRS-IND01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Creating &amp; Submitting Applications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F01-F03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DDRS-IND02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Fee Payment (Bharat Kosh/Treasury) &amp; Receipts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DDRS-IND03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Licences, Certificates, NOCs &amp; QR Verification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DDRS-IND04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Renewals, Endorsements &amp; Post-Approval Changes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DDRS-IND05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Clinical Trials &amp; Site Management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CRO/Sponsor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DDRS-IND06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Vigilance Reporting (SAE/AEFI) &amp; E2B/ICSR Import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Industry/PV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DDRS-IND07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Returns Filing &amp; Supply-Chain Batch/QR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IND01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DDRS-CEN01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Work Queue, Allocation &amp; Timeline Review (TRS)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CDSCO/State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DDRS-CEN02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Application Review, Queries &amp; Decisions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CDSCO/State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CEN01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DDRS-CEN03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Issuing Licences, Certificates &amp; NOCs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CDSCO/State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CEN02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DDRS-CEN04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Inspections: Scheduling, Forms &amp; Joint Reports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Inspectors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DDRS-CEN05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Enforcement: Sampling, NSQ/Spurious, Recalls, Court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CDSCO/State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DDRS-CEN06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Vigilance Assessment &amp; PSUR Review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CDSCO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DDRS-LAB01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Sample Receipt &amp; Workflow (LIMS)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DDRS-LAB02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Testing, Reports &amp; Result Capture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 Analyst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DDRS-LAB03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Batch Release (BRC), SLP Scrutiny &amp; Reference Standards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 Manager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DDRS-ANA01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MIS Dashboards &amp; Custom Reports (CSV)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CDSCO/State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DDRS-ANA02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SHRESTH State Benchmarking Index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Authorities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Webinar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ANA01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DDRS-ADM01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User &amp; Role Administration (RBAC)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 + 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DDRS-ADM02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Entity/Lab Onboarding &amp; Master Data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DDRS-ADM03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Audit Trail &amp; Investigations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Admin/CDSCO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DDRS-INT01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Integrations Hub &amp; External Systems (35)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Admin/CDSCO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ADM01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DDRS-SEC01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Security, Access Control &amp; Incident Response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Admin/IT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ILT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F04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DDRS-TOT01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Train-the-Trainer: Facilitation &amp; Tools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Master Trainers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Workshop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Role track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DDRS-PUB01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 Services: Verify, Alerts, Grievances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Public/Helpdesk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 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E-learning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None</w:t>
            </w:r>
          </w:p>
        </w:tc>
      </w:tr>
    </w:tbl>
    <w:p>
      <w:pPr>
        <w:pStyle w:val="Heading2"/>
      </w:pPr>
      <w:r>
        <w:t>3.3 Role-Based Learning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Recommended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Industry / Applicant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F01→F02→F03→F04→IND01→IND02→IND03→IND04 (+IND05/06/07 as applicable)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CDSCO Officer (Review)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F01-F04→CEN01→CEN02→CEN03→ANA01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Drug Inspector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F01-F04→CEN01→CEN04→CEN05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Licensing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F01-F04→CEN01→CEN02→CEN03→CEN04→CEN05→ANA01→ANA02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Laboratory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F01-F04→LAB01→LAB02→LAB03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F01-F04→ADM01→ADM02→ADM03→INT01→SEC01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Trainer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Relevant role track + TOT01</w:t>
            </w:r>
          </w:p>
        </w:tc>
      </w:tr>
    </w:tbl>
    <w:p>
      <w:r>
        <w:br w:type="page"/>
      </w:r>
    </w:p>
    <w:p>
      <w:pPr>
        <w:pStyle w:val="Heading1"/>
      </w:pPr>
      <w:r>
        <w:t>4. Delivery Methods &amp; Materials</w:t>
      </w:r>
    </w:p>
    <w:p>
      <w:pPr>
        <w:pStyle w:val="Heading2"/>
      </w:pPr>
      <w:r>
        <w:t>4.1 Delivery Channels</w:t>
      </w:r>
    </w:p>
    <w:p>
      <w:pPr>
        <w:pStyle w:val="ListBullet"/>
        <w:ind w:left="432"/>
      </w:pPr>
      <w:r>
        <w:t>Self-paced e-learning (LMS-hosted modules, micro-videos, simulations).</w:t>
      </w:r>
    </w:p>
    <w:p>
      <w:pPr>
        <w:pStyle w:val="ListBullet"/>
        <w:ind w:left="432"/>
      </w:pPr>
      <w:r>
        <w:t>Virtual instructor-led training (VILT) over webinar platform.</w:t>
      </w:r>
    </w:p>
    <w:p>
      <w:pPr>
        <w:pStyle w:val="ListBullet"/>
        <w:ind w:left="432"/>
      </w:pPr>
      <w:r>
        <w:t>On-site instructor-led training at CDSCO HQ, zonal/port offices and State capitals.</w:t>
      </w:r>
    </w:p>
    <w:p>
      <w:pPr>
        <w:pStyle w:val="ListBullet"/>
        <w:ind w:left="432"/>
      </w:pPr>
      <w:r>
        <w:t>Hands-on labs on a dedicated, seeded training (sandbox) environment.</w:t>
      </w:r>
    </w:p>
    <w:p>
      <w:pPr>
        <w:pStyle w:val="ListBullet"/>
        <w:ind w:left="432"/>
      </w:pPr>
      <w:r>
        <w:t>Webinars, workshops and communities of practice for ongoing learning.</w:t>
      </w:r>
    </w:p>
    <w:p>
      <w:pPr>
        <w:pStyle w:val="Heading2"/>
      </w:pPr>
      <w:r>
        <w:t>4.2 Training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Manuals (per role)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Step-by-step task guides with screenshots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PDF/online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Quick Reference Guides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One-page job aids per key 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PDF/printable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E-learning 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Narrated, interactive, assessed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SCORM/HTML5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Tutorial Videos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Short how-to clips per feature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Hands-on Lab Guides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Guided exercises on the sandbox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PDF/online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Knowledge Base / FAQs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Searchable self-service articles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Trainer Kits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Slides, facilitator notes, exercise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PPTX/PDF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Release Notes &amp; Change Bulletins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changed each 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Web/email</w:t>
            </w:r>
          </w:p>
        </w:tc>
      </w:tr>
    </w:tbl>
    <w:p>
      <w:pPr>
        <w:pStyle w:val="Heading2"/>
      </w:pPr>
      <w:r>
        <w:t>4.3 Training (Sandbox) Environment</w:t>
      </w:r>
    </w:p>
    <w:p>
      <w:r>
        <w:rPr>
          <w:b w:val="0"/>
          <w:i w:val="0"/>
        </w:rPr>
        <w:t>A dedicated training environment mirrors production and is pre-seeded with realistic, India-contextualised demonstration data (500+ records per flow). It allows risk-free practice of every workflow (application lifecycle, inspections, lab testing, enforcement, vigilance) without affecting live data, and is reset on a schedule between cohorts.</w:t>
      </w:r>
    </w:p>
    <w:p>
      <w:r>
        <w:br w:type="page"/>
      </w:r>
    </w:p>
    <w:p>
      <w:pPr>
        <w:pStyle w:val="Heading1"/>
      </w:pPr>
      <w:r>
        <w:t>5. Train-the-Trainer (ToT) &amp; Master Trainers</w:t>
      </w:r>
    </w:p>
    <w:p>
      <w:r>
        <w:rPr>
          <w:b w:val="0"/>
          <w:i w:val="0"/>
        </w:rPr>
        <w:t>A multiplier model develops a cadre of master trainers who then deliver training in their States/zones, ensuring scalable, sustainable capacity beyond the SSP team.</w:t>
      </w:r>
    </w:p>
    <w:p>
      <w:pPr>
        <w:pStyle w:val="Heading2"/>
      </w:pPr>
      <w:r>
        <w:t>5.1 Cadre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 Trainers (SSP)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SSP training specialists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curricula, train master trainers, quality assurance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Trainers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Nominated CDSCO &amp; State officers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Deliver role training in their region; first-line mentoring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Departmental Champions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Power users per office/lab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Peer support, adoption, feedback collection</w:t>
            </w:r>
          </w:p>
        </w:tc>
      </w:tr>
    </w:tbl>
    <w:p>
      <w:pPr>
        <w:pStyle w:val="Heading2"/>
      </w:pPr>
      <w:r>
        <w:t>5.2 ToT Programme</w:t>
      </w:r>
    </w:p>
    <w:p>
      <w:pPr>
        <w:pStyle w:val="ListBullet"/>
        <w:ind w:left="432"/>
      </w:pPr>
      <w:r>
        <w:t>Selection of master trainers (2–4 per State/zone, per portal).</w:t>
      </w:r>
    </w:p>
    <w:p>
      <w:pPr>
        <w:pStyle w:val="ListBullet"/>
        <w:ind w:left="432"/>
      </w:pPr>
      <w:r>
        <w:t>Intensive role-track training + facilitation skills (DDRS-TOT01).</w:t>
      </w:r>
    </w:p>
    <w:p>
      <w:pPr>
        <w:pStyle w:val="ListBullet"/>
        <w:ind w:left="432"/>
      </w:pPr>
      <w:r>
        <w:t>Certification of master trainers via assessment + teach-back.</w:t>
      </w:r>
    </w:p>
    <w:p>
      <w:pPr>
        <w:pStyle w:val="ListBullet"/>
        <w:ind w:left="432"/>
      </w:pPr>
      <w:r>
        <w:t>Trainer kits, sandbox access and ongoing trainer community.</w:t>
      </w:r>
    </w:p>
    <w:p>
      <w:r>
        <w:br w:type="page"/>
      </w:r>
    </w:p>
    <w:p>
      <w:pPr>
        <w:pStyle w:val="Heading1"/>
      </w:pPr>
      <w:r>
        <w:t>6. State Onboarding &amp; Phased Rollout</w:t>
      </w:r>
    </w:p>
    <w:p>
      <w:r>
        <w:rPr>
          <w:b w:val="0"/>
          <w:i w:val="0"/>
        </w:rPr>
        <w:t>Onboarding and training are rolled out in waves across all 36 States/UTs. Each wave includes readiness checks, master-trainer certification, role-based training, hands-on labs, go-live support and a stabilisation review. State onboarding progress is a tracked parameter linked to O&amp;M performance.</w:t>
      </w:r>
    </w:p>
    <w:p>
      <w:pPr>
        <w:pStyle w:val="Heading2"/>
      </w:pPr>
      <w:r>
        <w:t>6.1 Per-State Onboarding Steps</w:t>
      </w:r>
    </w:p>
    <w:p>
      <w:pPr>
        <w:pStyle w:val="ListNumber"/>
      </w:pPr>
      <w:r>
        <w:t>Stakeholder mapping and user/role enrolment.</w:t>
      </w:r>
    </w:p>
    <w:p>
      <w:pPr>
        <w:pStyle w:val="ListNumber"/>
      </w:pPr>
      <w:r>
        <w:t>Master-trainer nomination and ToT certification.</w:t>
      </w:r>
    </w:p>
    <w:p>
      <w:pPr>
        <w:pStyle w:val="ListNumber"/>
      </w:pPr>
      <w:r>
        <w:t>Role-based training (e-learning + VILT + labs).</w:t>
      </w:r>
    </w:p>
    <w:p>
      <w:pPr>
        <w:pStyle w:val="ListNumber"/>
      </w:pPr>
      <w:r>
        <w:t>Data readiness and (where applicable) migration validation.</w:t>
      </w:r>
    </w:p>
    <w:p>
      <w:pPr>
        <w:pStyle w:val="ListNumber"/>
      </w:pPr>
      <w:r>
        <w:t>Go-live with on-site/virtual hypercare support.</w:t>
      </w:r>
    </w:p>
    <w:p>
      <w:pPr>
        <w:pStyle w:val="ListNumber"/>
      </w:pPr>
      <w:r>
        <w:t>Post-go-live review, adoption metrics and refresher scheduling.</w:t>
      </w:r>
    </w:p>
    <w:p>
      <w:pPr>
        <w:pStyle w:val="Heading2"/>
      </w:pPr>
      <w:r>
        <w:t>6.2 Indicative Rollout Waves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160"/>
            <w:shd w:val="clear" w:fill="0b3d7b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Wave 0 – Pilot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Months 1–2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CDSCO HQ + 2 zonal offices + 1 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core, ToT seed, feedback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Wave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Months 2–4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High-volume States (e.g., MH, GJ, TN, KA, TG, 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SLA, licensing, inspections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Wave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Months 4–7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10–12 States/UTs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role tracks, labs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Wave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Months 7–10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Remaining States/UTs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national 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Wave 4 – Deepening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Months 10–36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+ industry/public at 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Advanced topics, refreshers, new releases</w:t>
            </w:r>
          </w:p>
        </w:tc>
      </w:tr>
    </w:tbl>
    <w:p>
      <w:pPr>
        <w:pStyle w:val="Heading2"/>
      </w:pPr>
      <w:r>
        <w:t>6.3 Indicative Training Calendar (per wave)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Readiness check, enrolment, master-trainer ToT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Foundation e-learning (all users) + role-track VILT begins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Hands-on labs (sandbox) per role; assessments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Go-live + hypercare; daily clinics; feedback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W5–6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Stabilisation, refresher clinics, certification close-out</w:t>
            </w:r>
          </w:p>
        </w:tc>
      </w:tr>
    </w:tbl>
    <w:p>
      <w:r>
        <w:br w:type="page"/>
      </w:r>
    </w:p>
    <w:p>
      <w:pPr>
        <w:pStyle w:val="Heading1"/>
      </w:pPr>
      <w:r>
        <w:t>7. Assessment, Certification &amp; Competency</w:t>
      </w:r>
    </w:p>
    <w:p>
      <w:pPr>
        <w:pStyle w:val="Heading2"/>
      </w:pPr>
      <w:r>
        <w:t>7.1 Assessment Methods</w:t>
      </w:r>
    </w:p>
    <w:p>
      <w:pPr>
        <w:pStyle w:val="ListBullet"/>
        <w:ind w:left="432"/>
      </w:pPr>
      <w:r>
        <w:t>Pre-assessment (baseline) and post-assessment (knowledge gain).</w:t>
      </w:r>
    </w:p>
    <w:p>
      <w:pPr>
        <w:pStyle w:val="ListBullet"/>
        <w:ind w:left="432"/>
      </w:pPr>
      <w:r>
        <w:t>Hands-on task-based assessment on the sandbox (can the user do the task?).</w:t>
      </w:r>
    </w:p>
    <w:p>
      <w:pPr>
        <w:pStyle w:val="ListBullet"/>
        <w:ind w:left="432"/>
      </w:pPr>
      <w:r>
        <w:t>Module quizzes within e-learning (auto-graded, pass mark 70%).</w:t>
      </w:r>
    </w:p>
    <w:p>
      <w:pPr>
        <w:pStyle w:val="ListBullet"/>
        <w:ind w:left="432"/>
      </w:pPr>
      <w:r>
        <w:t>Trainer teach-back for master-trainer certification.</w:t>
      </w:r>
    </w:p>
    <w:p>
      <w:pPr>
        <w:pStyle w:val="Heading2"/>
      </w:pPr>
      <w:r>
        <w:t>7.2 Certification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Certificate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DDRS Certified User (role)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Complete role path + pass assessment (≥70%)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DDRS Certified Power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Advanced track + task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DDRS Certified Master Trainer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track + ToT + teach-back evaluation</w:t>
            </w:r>
          </w:p>
        </w:tc>
      </w:tr>
    </w:tbl>
    <w:p>
      <w:pPr>
        <w:pStyle w:val="Heading2"/>
      </w:pPr>
      <w:r>
        <w:t>7.3 Competency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Foundation (F)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 navigate and perform basic, guided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Intermediate (I)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Performs core role tasks independently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Advanced (A)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Handles exceptions, mentors others, configures where permitted</w:t>
            </w:r>
          </w:p>
        </w:tc>
      </w:tr>
    </w:tbl>
    <w:p>
      <w:r>
        <w:br w:type="page"/>
      </w:r>
    </w:p>
    <w:p>
      <w:pPr>
        <w:pStyle w:val="Heading1"/>
      </w:pPr>
      <w:r>
        <w:t>8. Evaluation, KPIs &amp; Continuous Improvement</w:t>
      </w:r>
    </w:p>
    <w:p>
      <w:pPr>
        <w:pStyle w:val="Heading2"/>
      </w:pPr>
      <w:r>
        <w:t>8.1 Kirkpatrick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Measures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Reaction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Satisfaction, relevance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Post-session survey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Knowledge/skill gain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Pre/post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Behaviour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On-the-job application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 analytics, supervisor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Results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SLA, error/ticket reduction,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DDRS dashboards &amp; audit</w:t>
            </w:r>
          </w:p>
        </w:tc>
      </w:tr>
    </w:tbl>
    <w:p>
      <w:pPr>
        <w:pStyle w:val="Heading2"/>
      </w:pPr>
      <w:r>
        <w:t>8.2 Training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 trained (per wave)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95% of enrolled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 pass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trainers certified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2 per State/portal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Post-training satisfaction (CSAT)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4.2 /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Support tickets per user (30 days post-go-live)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Declining trend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SLA-compliant processing post-training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Improving trend</w:t>
            </w:r>
          </w:p>
        </w:tc>
      </w:tr>
    </w:tbl>
    <w:p>
      <w:pPr>
        <w:pStyle w:val="Heading2"/>
      </w:pPr>
      <w:r>
        <w:t>8.3 Continuous Improvement</w:t>
      </w:r>
    </w:p>
    <w:p>
      <w:r>
        <w:rPr>
          <w:b w:val="0"/>
          <w:i w:val="0"/>
        </w:rPr>
        <w:t>Feedback, assessment data and support trends are reviewed each wave; materials and sessions are updated accordingly. New releases trigger change bulletins, refreshed micro-modules and targeted webinars.</w:t>
      </w:r>
    </w:p>
    <w:p>
      <w:r>
        <w:br w:type="page"/>
      </w:r>
    </w:p>
    <w:p>
      <w:pPr>
        <w:pStyle w:val="Heading1"/>
      </w:pPr>
      <w:r>
        <w:t>9. Helpdesk, Knowledge Management &amp; Post-Go-Live Support</w:t>
      </w:r>
    </w:p>
    <w:p>
      <w:pPr>
        <w:pStyle w:val="ListBullet"/>
        <w:ind w:left="432"/>
      </w:pPr>
      <w:r>
        <w:t>IVRS-enabled, multilingual helpdesk with ticketing, escalation and SLAs.</w:t>
      </w:r>
    </w:p>
    <w:p>
      <w:pPr>
        <w:pStyle w:val="ListBullet"/>
        <w:ind w:left="432"/>
      </w:pPr>
      <w:r>
        <w:t>Searchable knowledge base, FAQs and how-to videos (in-product and public).</w:t>
      </w:r>
    </w:p>
    <w:p>
      <w:pPr>
        <w:pStyle w:val="ListBullet"/>
        <w:ind w:left="432"/>
      </w:pPr>
      <w:r>
        <w:t>Hypercare during go-live: daily clinics and rapid-response support.</w:t>
      </w:r>
    </w:p>
    <w:p>
      <w:pPr>
        <w:pStyle w:val="ListBullet"/>
        <w:ind w:left="432"/>
      </w:pPr>
      <w:r>
        <w:t>Communities of practice and periodic webinars for ongoing learning.</w:t>
      </w:r>
    </w:p>
    <w:p>
      <w:pPr>
        <w:pStyle w:val="ListBullet"/>
        <w:ind w:left="432"/>
      </w:pPr>
      <w:r>
        <w:t>Quarterly refreshers and onboarding for new joiners.</w:t>
      </w:r>
    </w:p>
    <w:p>
      <w:r>
        <w:br w:type="page"/>
      </w:r>
    </w:p>
    <w:p>
      <w:pPr>
        <w:pStyle w:val="Heading1"/>
      </w:pPr>
      <w:r>
        <w:t>10. Governance, Roles &amp; Responsibilities</w:t>
      </w:r>
    </w:p>
    <w:p>
      <w:pPr>
        <w:pStyle w:val="Heading2"/>
      </w:pPr>
      <w:r>
        <w:t>10.1 Training Governance</w:t>
      </w:r>
    </w:p>
    <w:p>
      <w:r>
        <w:rPr>
          <w:b w:val="0"/>
          <w:i w:val="0"/>
        </w:rPr>
        <w:t>A Training Steering Group (CDSCO + SSP) owns the plan, approves curricula and schedules, and reviews KPIs at each wave. A Training PMO coordinates logistics, enrolment, materials and reporting.</w:t>
      </w:r>
    </w:p>
    <w:p>
      <w:pPr>
        <w:pStyle w:val="Heading2"/>
      </w:pPr>
      <w:r>
        <w:t>10.2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0b3d7b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728"/>
            <w:shd w:val="clear" w:fill="0b3d7b"/>
          </w:tcPr>
          <w:p>
            <w:r>
              <w:rPr>
                <w:b/>
                <w:color w:val="FFFFFF"/>
                <w:sz w:val="18"/>
              </w:rPr>
              <w:t>CDSCO</w:t>
            </w:r>
          </w:p>
        </w:tc>
        <w:tc>
          <w:tcPr>
            <w:tcW w:type="dxa" w:w="1728"/>
            <w:shd w:val="clear" w:fill="0b3d7b"/>
          </w:tcPr>
          <w:p>
            <w:r>
              <w:rPr>
                <w:b/>
                <w:color w:val="FFFFFF"/>
                <w:sz w:val="18"/>
              </w:rPr>
              <w:t>SSP Training</w:t>
            </w:r>
          </w:p>
        </w:tc>
        <w:tc>
          <w:tcPr>
            <w:tcW w:type="dxa" w:w="1728"/>
            <w:shd w:val="clear" w:fill="0b3d7b"/>
          </w:tcPr>
          <w:p>
            <w:r>
              <w:rPr>
                <w:b/>
                <w:color w:val="FFFFFF"/>
                <w:sz w:val="18"/>
              </w:rPr>
              <w:t>Master Trainers</w:t>
            </w:r>
          </w:p>
        </w:tc>
        <w:tc>
          <w:tcPr>
            <w:tcW w:type="dxa" w:w="1728"/>
            <w:shd w:val="clear" w:fill="0b3d7b"/>
          </w:tcPr>
          <w:p>
            <w:r>
              <w:rPr>
                <w:b/>
                <w:color w:val="FFFFFF"/>
                <w:sz w:val="18"/>
              </w:rPr>
              <w:t>State PMO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Curriculum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Material development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 delivery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Role training delivery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Sandbox environment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Enrolment &amp; logistics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Assessment &amp; certification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Evaluation &amp; reporting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11. Training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attendance / adoption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Mandated role certification; leadership sponsorship; incentives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Geographic dispersion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Blended/VILT + master-trainer multiplier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Language barriers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Bilingual materials; regional-language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 variance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Pre-assessment + adaptive paths; foundation track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Release churn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Change bulletins + micro-module refreshers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Trainer attrition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Larger master-trainer pool; recorded sessions; trainer kits</w:t>
            </w:r>
          </w:p>
        </w:tc>
      </w:tr>
    </w:tbl>
    <w:p>
      <w:r>
        <w:br w:type="page"/>
      </w:r>
    </w:p>
    <w:p>
      <w:pPr>
        <w:pStyle w:val="Heading1"/>
      </w:pPr>
      <w:r>
        <w:t>12. Indicative Budget Heads</w:t>
      </w:r>
    </w:p>
    <w:p>
      <w:r>
        <w:rPr>
          <w:b w:val="0"/>
          <w:i w:val="0"/>
        </w:rPr>
        <w:t>Training costs are part of the SSP’s operational scope. The indicative heads below support planning; actual figures are governed by the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Head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Content development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E-learning, videos, manuals, trainer kits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LMS &amp; sandbox hosting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Platform, environment refresh, access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Delivery (VILT/on-site)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Trainer effort, travel for on-site waves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Master-trainer programme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 workshops, 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Helpdesk &amp; 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IVRS, agents, knowledge base upkeep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Evaluation &amp; reporting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Assessment tooling, analytics</w:t>
            </w:r>
          </w:p>
        </w:tc>
      </w:tr>
    </w:tbl>
    <w:p>
      <w:r>
        <w:br w:type="page"/>
      </w:r>
    </w:p>
    <w:p>
      <w:pPr>
        <w:pStyle w:val="Heading1"/>
      </w:pPr>
      <w:r>
        <w:t>Appendix A — Sample Course Outline (DDRS-CEN02)</w:t>
      </w:r>
    </w:p>
    <w:p>
      <w:r>
        <w:rPr>
          <w:b w:val="0"/>
          <w:i w:val="0"/>
        </w:rPr>
        <w:t>Course: Application Review, Queries &amp; Decisions — audience: CDSCO/State review officers — duration: 2.5 h — mode: ILT + hands-on lab.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880"/>
            <w:shd w:val="clear" w:fill="0b3d7b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Objectives, the work queue and masked allocation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Walkthrough of states: pre-screening → review → recommend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Raising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types, applicant response loop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Hands-on 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 3 seeded applications end-to-end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Decisions &amp;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Approve/reject; auto-issuance &amp; QR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Task-based assessment + Q&amp;A</w:t>
            </w:r>
          </w:p>
        </w:tc>
      </w:tr>
    </w:tbl>
    <w:p>
      <w:pPr>
        <w:pStyle w:val="Heading1"/>
      </w:pPr>
      <w:r>
        <w:t>Appendix B — Sample Assessment Items</w:t>
      </w:r>
    </w:p>
    <w:p>
      <w:pPr>
        <w:pStyle w:val="ListNumber"/>
      </w:pPr>
      <w:r>
        <w:t>Demonstrate creating, submitting and paying for an application (task).</w:t>
      </w:r>
    </w:p>
    <w:p>
      <w:pPr>
        <w:pStyle w:val="ListNumber"/>
      </w:pPr>
      <w:r>
        <w:t>Identify the correct action when a query response is received (MCQ).</w:t>
      </w:r>
    </w:p>
    <w:p>
      <w:pPr>
        <w:pStyle w:val="ListNumber"/>
      </w:pPr>
      <w:r>
        <w:t>Locate an entity’s licence and verify it via QR (task).</w:t>
      </w:r>
    </w:p>
    <w:p>
      <w:pPr>
        <w:pStyle w:val="ListNumber"/>
      </w:pPr>
      <w:r>
        <w:t>Explain the masked-allocation rule and manual override (short answer).</w:t>
      </w:r>
    </w:p>
    <w:p>
      <w:pPr>
        <w:pStyle w:val="ListNumber"/>
      </w:pPr>
      <w:r>
        <w:t>Record an inspection finding with correct severity (task).</w:t>
      </w:r>
    </w:p>
    <w:p>
      <w:pPr>
        <w:pStyle w:val="Heading1"/>
      </w:pPr>
      <w:r>
        <w:t>Appendix C — Attendance &amp; Feedback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Course /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DDRS-CEN02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/ Wave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Attendee / Role / Office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Pre-score / Post-score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 (Pass/Fail)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CSAT (1–5)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Appendix D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val="clear" w:fill="0b3d7b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ADDIE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Analyse, Design, Develop, Implement, Evaluate (ID model)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Virtual Instructor-Led Training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Instructor-Led Training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Train-the-Trainer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Learning Management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Customer/Trainee Satisfaction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non-production training environment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Hypercare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Intensive post-go-live support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SHRESTH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regulatory performance benchmarking index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Level Agreement</w:t>
            </w:r>
          </w:p>
        </w:tc>
      </w:tr>
    </w:tbl>
    <w:p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  <w:color w:val="0B3D7B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7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D7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