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1645920" cy="630352"/>
            <wp:docPr id="1" name="Picture 1"/>
            <wp:cNvGraphicFramePr>
              <a:graphicFrameLocks noChangeAspect="1"/>
            </wp:cNvGraphicFramePr>
            <a:graphic>
              <a:graphicData uri="http://schemas.openxmlformats.org/drawingml/2006/picture">
                <pic:pic>
                  <pic:nvPicPr>
                    <pic:cNvPr id="0" name="niet_logo.png"/>
                    <pic:cNvPicPr/>
                  </pic:nvPicPr>
                  <pic:blipFill>
                    <a:blip r:embed="rId10"/>
                    <a:stretch>
                      <a:fillRect/>
                    </a:stretch>
                  </pic:blipFill>
                  <pic:spPr>
                    <a:xfrm>
                      <a:off x="0" y="0"/>
                      <a:ext cx="1645920" cy="630352"/>
                    </a:xfrm>
                    <a:prstGeom prst="rect"/>
                  </pic:spPr>
                </pic:pic>
              </a:graphicData>
            </a:graphic>
          </wp:inline>
        </w:drawing>
      </w:r>
    </w:p>
    <w:p>
      <w:pPr>
        <w:spacing w:before="80" w:after="40" w:line="276" w:lineRule="auto"/>
        <w:jc w:val="center"/>
      </w:pPr>
      <w:r>
        <w:rPr>
          <w:rFonts w:ascii="Times New Roman" w:hAnsi="Times New Roman"/>
          <w:b/>
          <w:color w:val="000000"/>
          <w:sz w:val="26"/>
        </w:rPr>
        <w:t>Program and Branch Name: B.Tech CSE (AI)</w:t>
      </w:r>
    </w:p>
    <w:p>
      <w:pPr>
        <w:spacing w:before="40" w:after="240" w:line="276" w:lineRule="auto"/>
        <w:jc w:val="center"/>
      </w:pPr>
      <w:r>
        <w:rPr>
          <w:rFonts w:ascii="Times New Roman" w:hAnsi="Times New Roman"/>
          <w:b/>
          <w:color w:val="000000"/>
          <w:sz w:val="28"/>
        </w:rPr>
        <w:t>PBL Progress Report – Final</w:t>
      </w:r>
    </w:p>
    <w:tbl>
      <w:tblPr>
        <w:tblW w:type="auto" w:w="0"/>
        <w:jc w:val="center"/>
        <w:tblLook w:firstColumn="1" w:firstRow="1" w:lastColumn="0" w:lastRow="0" w:noHBand="0" w:noVBand="1" w:val="04A0"/>
      </w:tblPr>
      <w:tblGrid>
        <w:gridCol w:w="4680"/>
        <w:gridCol w:w="4680"/>
      </w:tblGrid>
      <w:tr>
        <w:trPr>
          <w:trHeight w:val="400"/>
        </w:trPr>
        <w:tc>
          <w:tcPr>
            <w:tcW w:type="dxa" w:w="3600"/>
            <w:tcBorders>
              <w:top w:val="single" w:sz="4" w:space="0" w:color="000000"/>
              <w:left w:val="single" w:sz="4" w:space="0" w:color="000000"/>
              <w:bottom w:val="single" w:sz="4" w:space="0" w:color="000000"/>
              <w:right w:val="single" w:sz="4" w:space="0" w:color="000000"/>
            </w:tcBorders>
            <w:vAlign w:val="center"/>
            <w:shd w:fill="F2F2F2"/>
          </w:tcPr>
          <w:p>
            <w:pPr>
              <w:spacing w:before="40" w:after="40" w:line="276" w:lineRule="auto"/>
            </w:pPr>
            <w:r>
              <w:rPr>
                <w:rFonts w:ascii="Times New Roman" w:hAnsi="Times New Roman"/>
                <w:b/>
                <w:sz w:val="22"/>
              </w:rPr>
              <w:t>Field</w:t>
            </w:r>
          </w:p>
        </w:tc>
        <w:tc>
          <w:tcPr>
            <w:tcW w:type="dxa" w:w="5760"/>
            <w:tcBorders>
              <w:top w:val="single" w:sz="4" w:space="0" w:color="000000"/>
              <w:left w:val="single" w:sz="4" w:space="0" w:color="000000"/>
              <w:bottom w:val="single" w:sz="4" w:space="0" w:color="000000"/>
              <w:right w:val="single" w:sz="4" w:space="0" w:color="000000"/>
            </w:tcBorders>
            <w:vAlign w:val="center"/>
            <w:shd w:fill="F2F2F2"/>
          </w:tcPr>
          <w:p>
            <w:pPr>
              <w:spacing w:before="40" w:after="40" w:line="276" w:lineRule="auto"/>
            </w:pPr>
            <w:r>
              <w:rPr>
                <w:rFonts w:ascii="Times New Roman" w:hAnsi="Times New Roman"/>
                <w:b/>
                <w:sz w:val="22"/>
              </w:rPr>
              <w:t>Details</w:t>
            </w:r>
          </w:p>
        </w:tc>
      </w:tr>
      <w:tr>
        <w:trPr>
          <w:trHeight w:val="400"/>
        </w:trPr>
        <w:tc>
          <w:tcPr>
            <w:tcW w:type="dxa" w:w="360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b/>
                <w:sz w:val="21"/>
              </w:rPr>
              <w:t>Course Name</w:t>
            </w:r>
          </w:p>
        </w:tc>
        <w:tc>
          <w:tcPr>
            <w:tcW w:type="dxa" w:w="576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1"/>
              </w:rPr>
              <w:t>Data Structures &amp; Algorithms - II</w:t>
            </w:r>
          </w:p>
        </w:tc>
      </w:tr>
      <w:tr>
        <w:trPr>
          <w:trHeight w:val="400"/>
        </w:trPr>
        <w:tc>
          <w:tcPr>
            <w:tcW w:type="dxa" w:w="360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b/>
                <w:sz w:val="21"/>
              </w:rPr>
              <w:t>Course Code</w:t>
            </w:r>
          </w:p>
        </w:tc>
        <w:tc>
          <w:tcPr>
            <w:tcW w:type="dxa" w:w="576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1"/>
              </w:rPr>
              <w:t>CCSE0301</w:t>
            </w:r>
          </w:p>
        </w:tc>
      </w:tr>
      <w:tr>
        <w:trPr>
          <w:trHeight w:val="400"/>
        </w:trPr>
        <w:tc>
          <w:tcPr>
            <w:tcW w:type="dxa" w:w="360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b/>
                <w:sz w:val="21"/>
              </w:rPr>
              <w:t>Faculty Name</w:t>
            </w:r>
          </w:p>
        </w:tc>
        <w:tc>
          <w:tcPr>
            <w:tcW w:type="dxa" w:w="576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1"/>
              </w:rPr>
              <w:t>Mr. Sachin Singh</w:t>
            </w:r>
          </w:p>
        </w:tc>
      </w:tr>
      <w:tr>
        <w:trPr>
          <w:trHeight w:val="400"/>
        </w:trPr>
        <w:tc>
          <w:tcPr>
            <w:tcW w:type="dxa" w:w="360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b/>
                <w:sz w:val="21"/>
              </w:rPr>
              <w:t>Assignment Type</w:t>
            </w:r>
          </w:p>
        </w:tc>
        <w:tc>
          <w:tcPr>
            <w:tcW w:type="dxa" w:w="576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1"/>
              </w:rPr>
              <w:t>Individual Assignment</w:t>
            </w:r>
          </w:p>
        </w:tc>
      </w:tr>
      <w:tr>
        <w:trPr>
          <w:trHeight w:val="400"/>
        </w:trPr>
        <w:tc>
          <w:tcPr>
            <w:tcW w:type="dxa" w:w="360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b/>
                <w:sz w:val="21"/>
              </w:rPr>
              <w:t>Student(s) Name</w:t>
            </w:r>
          </w:p>
        </w:tc>
        <w:tc>
          <w:tcPr>
            <w:tcW w:type="dxa" w:w="576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1"/>
              </w:rPr>
              <w:t>Ankit Pandey</w:t>
            </w:r>
          </w:p>
        </w:tc>
      </w:tr>
      <w:tr>
        <w:trPr>
          <w:trHeight w:val="400"/>
        </w:trPr>
        <w:tc>
          <w:tcPr>
            <w:tcW w:type="dxa" w:w="360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b/>
                <w:sz w:val="21"/>
              </w:rPr>
              <w:t>ERP ID (I Year) / Roll No. (II Year onwards)</w:t>
            </w:r>
          </w:p>
        </w:tc>
        <w:tc>
          <w:tcPr>
            <w:tcW w:type="dxa" w:w="576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1"/>
              </w:rPr>
              <w:t>2501331520029</w:t>
            </w:r>
          </w:p>
        </w:tc>
      </w:tr>
      <w:tr>
        <w:trPr>
          <w:trHeight w:val="400"/>
        </w:trPr>
        <w:tc>
          <w:tcPr>
            <w:tcW w:type="dxa" w:w="360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b/>
                <w:sz w:val="21"/>
              </w:rPr>
              <w:t>Team/Group No. (Group/Capstone only)</w:t>
            </w:r>
          </w:p>
        </w:tc>
        <w:tc>
          <w:tcPr>
            <w:tcW w:type="dxa" w:w="576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1"/>
              </w:rPr>
              <w:t>N/A — Individual Assignment</w:t>
            </w:r>
          </w:p>
        </w:tc>
      </w:tr>
      <w:tr>
        <w:trPr>
          <w:trHeight w:val="400"/>
        </w:trPr>
        <w:tc>
          <w:tcPr>
            <w:tcW w:type="dxa" w:w="360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b/>
                <w:sz w:val="21"/>
              </w:rPr>
              <w:t>Problem Statement / Project Title</w:t>
            </w:r>
          </w:p>
        </w:tc>
        <w:tc>
          <w:tcPr>
            <w:tcW w:type="dxa" w:w="576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1"/>
              </w:rPr>
              <w:t>Intelligent Examination Scheduling Portal</w:t>
            </w:r>
          </w:p>
        </w:tc>
      </w:tr>
      <w:tr>
        <w:trPr>
          <w:trHeight w:val="400"/>
        </w:trPr>
        <w:tc>
          <w:tcPr>
            <w:tcW w:type="dxa" w:w="360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b/>
                <w:sz w:val="21"/>
              </w:rPr>
              <w:t>SDG(s)</w:t>
            </w:r>
          </w:p>
        </w:tc>
        <w:tc>
          <w:tcPr>
            <w:tcW w:type="dxa" w:w="576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1"/>
              </w:rPr>
              <w:t>SDG 4 – Quality Education</w:t>
            </w:r>
          </w:p>
        </w:tc>
      </w:tr>
      <w:tr>
        <w:trPr>
          <w:trHeight w:val="400"/>
        </w:trPr>
        <w:tc>
          <w:tcPr>
            <w:tcW w:type="dxa" w:w="360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b/>
                <w:sz w:val="21"/>
              </w:rPr>
              <w:t>Reporting Month</w:t>
            </w:r>
          </w:p>
        </w:tc>
        <w:tc>
          <w:tcPr>
            <w:tcW w:type="dxa" w:w="576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1"/>
              </w:rPr>
              <w:t>Month 3 – Final</w:t>
            </w:r>
          </w:p>
        </w:tc>
      </w:tr>
      <w:tr>
        <w:trPr>
          <w:trHeight w:val="400"/>
        </w:trPr>
        <w:tc>
          <w:tcPr>
            <w:tcW w:type="dxa" w:w="360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b/>
                <w:sz w:val="21"/>
              </w:rPr>
              <w:t>Date of Submission</w:t>
            </w:r>
          </w:p>
        </w:tc>
        <w:tc>
          <w:tcPr>
            <w:tcW w:type="dxa" w:w="576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1"/>
              </w:rPr>
              <w:t>27/10/2026</w:t>
            </w:r>
          </w:p>
        </w:tc>
      </w:tr>
    </w:tbl>
    <w:p>
      <w:pPr>
        <w:spacing w:before="320" w:after="80" w:line="276" w:lineRule="auto"/>
        <w:jc w:val="left"/>
      </w:pPr>
      <w:r>
        <w:rPr>
          <w:rFonts w:ascii="Times New Roman" w:hAnsi="Times New Roman"/>
          <w:b/>
          <w:color w:val="000000"/>
          <w:sz w:val="24"/>
        </w:rPr>
        <w:t>Student Declaration</w:t>
      </w:r>
    </w:p>
    <w:p>
      <w:pPr>
        <w:spacing w:before="40" w:after="200" w:line="276" w:lineRule="auto"/>
        <w:jc w:val="left"/>
      </w:pPr>
      <w:r>
        <w:rPr>
          <w:rFonts w:ascii="Times New Roman" w:hAnsi="Times New Roman"/>
          <w:color w:val="141414"/>
          <w:sz w:val="22"/>
        </w:rPr>
        <w:t>I/We certify that this assignment is my/our own work, with all sources appropriately acknowledged. I/We understand that a 0% mark and further academic penalties may apply if the content is found to be plagiarised or inappropriately AI-generated.</w:t>
      </w:r>
    </w:p>
    <w:p>
      <w:pPr>
        <w:spacing w:before="80" w:after="40" w:line="276" w:lineRule="auto"/>
        <w:jc w:val="left"/>
      </w:pPr>
      <w:r>
        <w:rPr>
          <w:rFonts w:ascii="Times New Roman" w:hAnsi="Times New Roman"/>
          <w:color w:val="141414"/>
          <w:sz w:val="22"/>
        </w:rPr>
        <w:t>Student Name &amp; Signature(s): Ankit Pandey</w:t>
      </w:r>
    </w:p>
    <w:p>
      <w:pPr>
        <w:spacing w:before="40" w:after="0" w:line="276" w:lineRule="auto"/>
        <w:jc w:val="left"/>
      </w:pPr>
      <w:r>
        <w:rPr>
          <w:rFonts w:ascii="Times New Roman" w:hAnsi="Times New Roman"/>
          <w:color w:val="141414"/>
          <w:sz w:val="22"/>
        </w:rPr>
        <w:t>Date: 27/10/2026</w:t>
      </w:r>
    </w:p>
    <w:p>
      <w:r>
        <w:br w:type="page"/>
      </w:r>
    </w:p>
    <w:p>
      <w:pPr>
        <w:spacing w:before="0" w:after="120" w:line="276" w:lineRule="auto"/>
        <w:jc w:val="left"/>
      </w:pPr>
      <w:r>
        <w:rPr>
          <w:rFonts w:ascii="Times New Roman" w:hAnsi="Times New Roman"/>
          <w:b/>
          <w:color w:val="000000"/>
          <w:sz w:val="24"/>
        </w:rPr>
        <w:t>2. Student Details / Team Details</w:t>
      </w:r>
    </w:p>
    <w:tbl>
      <w:tblPr>
        <w:tblW w:type="auto" w:w="0"/>
        <w:jc w:val="center"/>
        <w:tblLook w:firstColumn="1" w:firstRow="1" w:lastColumn="0" w:lastRow="0" w:noHBand="0" w:noVBand="1" w:val="04A0"/>
      </w:tblPr>
      <w:tblGrid>
        <w:gridCol w:w="2340"/>
        <w:gridCol w:w="2340"/>
        <w:gridCol w:w="2340"/>
        <w:gridCol w:w="2340"/>
      </w:tblGrid>
      <w:tr>
        <w:tc>
          <w:tcPr>
            <w:tcW w:type="dxa" w:w="864"/>
            <w:tcBorders>
              <w:top w:val="single" w:sz="4" w:space="0" w:color="000000"/>
              <w:left w:val="single" w:sz="4" w:space="0" w:color="000000"/>
              <w:bottom w:val="single" w:sz="4" w:space="0" w:color="000000"/>
              <w:right w:val="single" w:sz="4" w:space="0" w:color="000000"/>
            </w:tcBorders>
            <w:vAlign w:val="center"/>
            <w:shd w:fill="F2F2F2"/>
          </w:tcPr>
          <w:p>
            <w:pPr>
              <w:spacing w:before="40" w:after="40" w:line="276" w:lineRule="auto"/>
            </w:pPr>
            <w:r>
              <w:rPr>
                <w:rFonts w:ascii="Times New Roman" w:hAnsi="Times New Roman"/>
                <w:b/>
                <w:sz w:val="21"/>
              </w:rPr>
              <w:t>S. No.</w:t>
            </w:r>
          </w:p>
        </w:tc>
        <w:tc>
          <w:tcPr>
            <w:tcW w:type="dxa" w:w="2160"/>
            <w:tcBorders>
              <w:top w:val="single" w:sz="4" w:space="0" w:color="000000"/>
              <w:left w:val="single" w:sz="4" w:space="0" w:color="000000"/>
              <w:bottom w:val="single" w:sz="4" w:space="0" w:color="000000"/>
              <w:right w:val="single" w:sz="4" w:space="0" w:color="000000"/>
            </w:tcBorders>
            <w:vAlign w:val="center"/>
            <w:shd w:fill="F2F2F2"/>
          </w:tcPr>
          <w:p>
            <w:pPr>
              <w:spacing w:before="40" w:after="40" w:line="276" w:lineRule="auto"/>
            </w:pPr>
            <w:r>
              <w:rPr>
                <w:rFonts w:ascii="Times New Roman" w:hAnsi="Times New Roman"/>
                <w:b/>
                <w:sz w:val="21"/>
              </w:rPr>
              <w:t>Student Name</w:t>
            </w:r>
          </w:p>
        </w:tc>
        <w:tc>
          <w:tcPr>
            <w:tcW w:type="dxa" w:w="2304"/>
            <w:tcBorders>
              <w:top w:val="single" w:sz="4" w:space="0" w:color="000000"/>
              <w:left w:val="single" w:sz="4" w:space="0" w:color="000000"/>
              <w:bottom w:val="single" w:sz="4" w:space="0" w:color="000000"/>
              <w:right w:val="single" w:sz="4" w:space="0" w:color="000000"/>
            </w:tcBorders>
            <w:vAlign w:val="center"/>
            <w:shd w:fill="F2F2F2"/>
          </w:tcPr>
          <w:p>
            <w:pPr>
              <w:spacing w:before="40" w:after="40" w:line="276" w:lineRule="auto"/>
            </w:pPr>
            <w:r>
              <w:rPr>
                <w:rFonts w:ascii="Times New Roman" w:hAnsi="Times New Roman"/>
                <w:b/>
                <w:sz w:val="21"/>
              </w:rPr>
              <w:t>ERP ID / Roll No.</w:t>
            </w:r>
          </w:p>
        </w:tc>
        <w:tc>
          <w:tcPr>
            <w:tcW w:type="dxa" w:w="4032"/>
            <w:tcBorders>
              <w:top w:val="single" w:sz="4" w:space="0" w:color="000000"/>
              <w:left w:val="single" w:sz="4" w:space="0" w:color="000000"/>
              <w:bottom w:val="single" w:sz="4" w:space="0" w:color="000000"/>
              <w:right w:val="single" w:sz="4" w:space="0" w:color="000000"/>
            </w:tcBorders>
            <w:vAlign w:val="center"/>
            <w:shd w:fill="F2F2F2"/>
          </w:tcPr>
          <w:p>
            <w:pPr>
              <w:spacing w:before="40" w:after="40" w:line="276" w:lineRule="auto"/>
            </w:pPr>
            <w:r>
              <w:rPr>
                <w:rFonts w:ascii="Times New Roman" w:hAnsi="Times New Roman"/>
                <w:b/>
                <w:sz w:val="21"/>
              </w:rPr>
              <w:t>Role / Contribution</w:t>
            </w:r>
          </w:p>
        </w:tc>
      </w:tr>
      <w:tr>
        <w:tc>
          <w:tcPr>
            <w:tcW w:type="dxa" w:w="864"/>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0"/>
              </w:rPr>
              <w:t>1</w:t>
            </w:r>
          </w:p>
        </w:tc>
        <w:tc>
          <w:tcPr>
            <w:tcW w:type="dxa" w:w="216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0"/>
              </w:rPr>
              <w:t>Ankit Pandey</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0"/>
              </w:rPr>
              <w:t>2501331520029</w:t>
            </w:r>
          </w:p>
        </w:tc>
        <w:tc>
          <w:tcPr>
            <w:tcW w:type="dxa" w:w="4032"/>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20"/>
              </w:rPr>
              <w:t>Individual project development, DSA graph coloring &amp; DP implementation, web portal &amp; co-seating matrix, testing, and documentation.</w:t>
            </w:r>
          </w:p>
        </w:tc>
      </w:tr>
    </w:tbl>
    <w:p>
      <w:pPr>
        <w:spacing w:before="240" w:after="80" w:line="276" w:lineRule="auto"/>
        <w:jc w:val="left"/>
      </w:pPr>
      <w:r>
        <w:rPr>
          <w:rFonts w:ascii="Times New Roman" w:hAnsi="Times New Roman"/>
          <w:b/>
          <w:color w:val="000000"/>
          <w:sz w:val="24"/>
        </w:rPr>
        <w:t>3. Executive Summary</w:t>
      </w:r>
    </w:p>
    <w:p>
      <w:pPr>
        <w:spacing w:before="0" w:after="120" w:line="276" w:lineRule="auto"/>
        <w:jc w:val="left"/>
      </w:pPr>
      <w:r>
        <w:rPr>
          <w:rFonts w:ascii="Times New Roman" w:hAnsi="Times New Roman"/>
          <w:color w:val="141414"/>
          <w:sz w:val="22"/>
        </w:rPr>
        <w:t>The Intelligent Examination Scheduling Portal is an automated university timetabling and classroom seating platform developed for Noida Institute of Engineering and Technology (NIET). Using principles from Data Structures and Algorithms – II (CCSE0301), the system models examinations as an undirected conflict graph, applying Welsh-Powell and DSATUR vertex coloring heuristics accelerated by a Binary Max-Heap to schedule 10 courses across exactly 6 conflict-free days. A 0/1 Knapsack Dynamic Programming engine pairs non-conflicting departments on alternating benches, preventing cheating while maximizing room capacity. All 7 formal test cases passed, guaranteeing 100% feasibility and zero student clashes.</w:t>
      </w:r>
    </w:p>
    <w:p>
      <w:pPr>
        <w:spacing w:before="200" w:after="80" w:line="276" w:lineRule="auto"/>
        <w:jc w:val="left"/>
      </w:pPr>
      <w:r>
        <w:rPr>
          <w:rFonts w:ascii="Times New Roman" w:hAnsi="Times New Roman"/>
          <w:b/>
          <w:color w:val="000000"/>
          <w:sz w:val="24"/>
        </w:rPr>
        <w:t>4. Introduction</w:t>
      </w:r>
    </w:p>
    <w:p>
      <w:pPr>
        <w:spacing w:before="0" w:after="120" w:line="276" w:lineRule="auto"/>
        <w:jc w:val="left"/>
      </w:pPr>
      <w:r>
        <w:rPr>
          <w:rFonts w:ascii="Times New Roman" w:hAnsi="Times New Roman"/>
          <w:color w:val="141414"/>
          <w:sz w:val="22"/>
        </w:rPr>
        <w:t>University examination administration requires coordinated scheduling across student registrations, branch curricula, certified examination halls, and invigilator duties. Modern elective systems and multi-department minor streams create complex student overlap patterns that make manual scheduling error-prone and labor-intensive. This project applies Data Structures &amp; Algorithms to build a production-ready web application rather than relying on static spreadsheets. Python implements core graph coloring and dynamic programming logic, a zero-dependency HTTP server handles browser requests, and an interactive front-end displays department schedules and bench pairing matrices. The work bridges theoretical complexity analysis with practical institutional software engineering.</w:t>
      </w:r>
    </w:p>
    <w:p>
      <w:pPr>
        <w:spacing w:before="200" w:after="80" w:line="276" w:lineRule="auto"/>
        <w:jc w:val="left"/>
      </w:pPr>
      <w:r>
        <w:rPr>
          <w:rFonts w:ascii="Times New Roman" w:hAnsi="Times New Roman"/>
          <w:b/>
          <w:color w:val="000000"/>
          <w:sz w:val="24"/>
        </w:rPr>
        <w:t>5. Problem Definition</w:t>
      </w:r>
    </w:p>
    <w:p>
      <w:pPr>
        <w:spacing w:before="0" w:after="120" w:line="276" w:lineRule="auto"/>
        <w:jc w:val="left"/>
      </w:pPr>
      <w:r>
        <w:rPr>
          <w:rFonts w:ascii="Times New Roman" w:hAnsi="Times New Roman"/>
          <w:color w:val="141414"/>
          <w:sz w:val="22"/>
        </w:rPr>
        <w:t>The project addresses the NP-hard examination timetabling problem: scheduling N course examinations into minimum time slots such that no student is assigned two simultaneous exams (hard constraint) and physical room capacities are strictly respected (hard constraint). Soft constraints mandate fair preparation gaps between successive department exams and balanced hall seating. Stakeholders include the Controller of Examinations, Department HODs, invigilators, and students. Constraints include course enrollment boundaries, certified room capacities, and algorithmic execution efficiency. Success is verified through repeatable test suites, zero clash violations, and mathematical lower-bound proof. The project directly advances UN Sustainable Development Goal 4: Quality Education by ensuring fair, transparent, and stress-free academic evaluation.</w:t>
      </w:r>
    </w:p>
    <w:p>
      <w:pPr>
        <w:spacing w:before="200" w:after="80" w:line="276" w:lineRule="auto"/>
        <w:jc w:val="left"/>
      </w:pPr>
      <w:r>
        <w:rPr>
          <w:rFonts w:ascii="Times New Roman" w:hAnsi="Times New Roman"/>
          <w:b/>
          <w:color w:val="000000"/>
          <w:sz w:val="24"/>
        </w:rPr>
        <w:t>6. Industry / Application Overview</w:t>
      </w:r>
    </w:p>
    <w:p>
      <w:pPr>
        <w:spacing w:before="0" w:after="120" w:line="276" w:lineRule="auto"/>
        <w:jc w:val="left"/>
      </w:pPr>
      <w:r>
        <w:rPr>
          <w:rFonts w:ascii="Times New Roman" w:hAnsi="Times New Roman"/>
          <w:color w:val="141414"/>
          <w:sz w:val="22"/>
        </w:rPr>
        <w:t>Higher education institutions across India face significant administrative overhead during end-semester examinations. While commercial ERP suites exist, they operate as closed-source black boxes lacking explainable conflict resolution, mathematical optimality verification, and automated anti-cheating bench pairing. The proposed prototype explores Adjacency List Conflict Graphs for clash detection, Binary Max-Heap priority queues for dynamic saturation tracking, 0/1 Knapsack dynamic programming for room allocation, and Branch and Bound backtracking for chromatic number proof. It demonstrates how algorithmic intelligence can replace manual trial-and-error with verifiable, conflict-free examination operations [1], [4].</w:t>
      </w:r>
    </w:p>
    <w:p>
      <w:r>
        <w:br w:type="page"/>
      </w:r>
    </w:p>
    <w:p>
      <w:pPr>
        <w:spacing w:before="0" w:after="80" w:line="276" w:lineRule="auto"/>
        <w:jc w:val="left"/>
      </w:pPr>
      <w:r>
        <w:rPr>
          <w:rFonts w:ascii="Times New Roman" w:hAnsi="Times New Roman"/>
          <w:b/>
          <w:color w:val="000000"/>
          <w:sz w:val="24"/>
        </w:rPr>
        <w:t>7. Module 1: Binary Max-Heap &amp; Priority Queue (DSATUR Saturation Tracking)</w:t>
      </w:r>
    </w:p>
    <w:p>
      <w:pPr>
        <w:spacing w:before="0" w:after="120" w:line="276" w:lineRule="auto"/>
        <w:jc w:val="left"/>
      </w:pPr>
      <w:r>
        <w:rPr>
          <w:rFonts w:ascii="Times New Roman" w:hAnsi="Times New Roman"/>
          <w:color w:val="141414"/>
          <w:sz w:val="22"/>
        </w:rPr>
        <w:t>Module 1 implements a customized Binary Max-Heap Priority Queue to accelerate the DSATUR (Degree of Saturation) graph coloring algorithm. In DSATUR, the course vertex with the highest saturation degree (the number of distinctly colored neighboring courses) must be selected dynamically at each step. A naive scan requires O(V^2) comparisons, causing unacceptable latency on larger graphs. Our Binary Max-Heap maintains candidate vertices in O(log V) time for insertion and extraction. An auxiliary position map (PosMap) provides O(1) reverse lookup indexing, allowing immediate priority updates whenever an adjacent vertex receives a time slot. This data structure reduces graph coloring execution time to sub-millisecond speeds (0.12 ms for university cohorts), providing the performance foundation for interactive real-time scheduling [2].</w:t>
      </w:r>
    </w:p>
    <w:p>
      <w:pPr>
        <w:spacing w:before="200" w:after="80" w:line="276" w:lineRule="auto"/>
        <w:jc w:val="left"/>
      </w:pPr>
      <w:r>
        <w:rPr>
          <w:rFonts w:ascii="Times New Roman" w:hAnsi="Times New Roman"/>
          <w:b/>
          <w:color w:val="000000"/>
          <w:sz w:val="24"/>
        </w:rPr>
        <w:t>8. Module 2: Conflict Graph Modeling &amp; Graph Coloring (Welsh-Powell &amp; DSATUR)</w:t>
      </w:r>
    </w:p>
    <w:p>
      <w:pPr>
        <w:spacing w:before="0" w:after="120" w:line="276" w:lineRule="auto"/>
        <w:jc w:val="left"/>
      </w:pPr>
      <w:r>
        <w:rPr>
          <w:rFonts w:ascii="Times New Roman" w:hAnsi="Times New Roman"/>
          <w:color w:val="141414"/>
          <w:sz w:val="22"/>
        </w:rPr>
        <w:t>Module 2 structures university student enrollment records into an undirected Conflict Graph G = (V, E). Each vertex represents an examination course, while an undirected edge (u, v) is instantiated with weight equal to the count of common enrolled students. Assigning conflict-free time slots maps mathematically to Vertex Graph Coloring: adjacent vertices can never share the same color. We implemented and evaluated two heuristics: Welsh-Powell (static descending degree ordering) and DSATUR (dynamic saturation degree ordering). While Welsh-Powell orders vertices once based on initial degree, DSATUR dynamically prioritizes the most constrained course. DSATUR successfully colors the 10-course NIET curriculum using exactly 6 colors, matching the theoretical minimum and mapping cleanly to a 6-day examination calendar (Monday through Saturday) [1], [4].</w:t>
      </w:r>
    </w:p>
    <w:p>
      <w:pPr>
        <w:spacing w:before="200" w:after="80" w:line="276" w:lineRule="auto"/>
        <w:jc w:val="left"/>
      </w:pPr>
      <w:r>
        <w:rPr>
          <w:rFonts w:ascii="Times New Roman" w:hAnsi="Times New Roman"/>
          <w:b/>
          <w:color w:val="000000"/>
          <w:sz w:val="24"/>
        </w:rPr>
        <w:t>9. Module 3: Dynamic Programming for Room Packing &amp; Anti-Cheating Bench Pairing</w:t>
      </w:r>
    </w:p>
    <w:p>
      <w:pPr>
        <w:spacing w:before="0" w:after="120" w:line="276" w:lineRule="auto"/>
        <w:jc w:val="left"/>
      </w:pPr>
      <w:r>
        <w:rPr>
          <w:rFonts w:ascii="Times New Roman" w:hAnsi="Times New Roman"/>
          <w:color w:val="141414"/>
          <w:sz w:val="22"/>
        </w:rPr>
        <w:t>Once time slots are assigned, physical exam halls must be allocated without exceeding certified seating limits. Module 3 models classroom capacity allocation using Dynamic Programming via the 0/1 Knapsack Bellman recurrence: DP[i, w] = max(DP[i-1, w], DP[i-1, w - w_i] + v_i). Student cohorts are packed into halls such as Sir CV Raman Auditorium (300 seats), Ramanujan Block A (120 seats), and Aryabhata Block B (100 seats). Large cohorts exceeding individual hall limits (e.g., 250 students in Universal Human Values) are automatically partitioned across certified halls. Crucially, the module introduces an automated Bench Pairing Matrix: students from two non-conflicting departments (e.g., CSE-AI writing AI Foundations and ECE writing Digital Electronics) are seated in the same room on alternating benches (Odd columns: AI, Even columns: ECE). This eliminates cheating opportunities while achieving 73.6% mean seating utilization [3].</w:t>
      </w:r>
    </w:p>
    <w:p>
      <w:pPr>
        <w:spacing w:before="200" w:after="80" w:line="276" w:lineRule="auto"/>
        <w:jc w:val="left"/>
      </w:pPr>
      <w:r>
        <w:rPr>
          <w:rFonts w:ascii="Times New Roman" w:hAnsi="Times New Roman"/>
          <w:b/>
          <w:color w:val="000000"/>
          <w:sz w:val="24"/>
        </w:rPr>
        <w:t>10. Module 4: Backtracking, Branch and Bound &amp; Clique Lower Bound Proof</w:t>
      </w:r>
    </w:p>
    <w:p>
      <w:pPr>
        <w:spacing w:before="0" w:after="120" w:line="276" w:lineRule="auto"/>
        <w:jc w:val="left"/>
      </w:pPr>
      <w:r>
        <w:rPr>
          <w:rFonts w:ascii="Times New Roman" w:hAnsi="Times New Roman"/>
          <w:color w:val="141414"/>
          <w:sz w:val="22"/>
        </w:rPr>
        <w:t>Module 4 provides an exact recursive Backtracking solver enhanced with Branch and Bound pruning to mathematically verify schedule optimality. The solver performs Depth-First Search (DFS) over possible color assignments, maintaining the chromatic number of the best feasible schedule as an upper bound. Whenever the current path equals or exceeds this bound, the branch is immediately pruned. To prove optimality, the module calculates the Maximum Clique Lower Bound omega(G). By the Clique Lower Bound Theorem, chi(G) &gt;= omega(G). Analysis of the NIET conflict graph identifies a 6-clique formed by mutually overlapping core student registrations across departments. Because omega(G) = 6 and both DSATUR and Backtracking achieve chi(G) = 6, the 6-day timetable is mathematically proven optimal: no algorithm can schedule this curriculum in fewer than 6 days [3].</w:t>
      </w:r>
    </w:p>
    <w:p>
      <w:r>
        <w:br w:type="page"/>
      </w:r>
    </w:p>
    <w:p>
      <w:pPr>
        <w:spacing w:before="0" w:after="80" w:line="276" w:lineRule="auto"/>
        <w:jc w:val="left"/>
      </w:pPr>
      <w:r>
        <w:rPr>
          <w:rFonts w:ascii="Times New Roman" w:hAnsi="Times New Roman"/>
          <w:b/>
          <w:color w:val="000000"/>
          <w:sz w:val="24"/>
        </w:rPr>
        <w:t>11. Module 5: Central Examination Web Portal, Department Routines &amp; Seating Matrix</w:t>
      </w:r>
    </w:p>
    <w:p>
      <w:pPr>
        <w:spacing w:before="0" w:after="120" w:line="276" w:lineRule="auto"/>
        <w:jc w:val="left"/>
      </w:pPr>
      <w:r>
        <w:rPr>
          <w:rFonts w:ascii="Times New Roman" w:hAnsi="Times New Roman"/>
          <w:color w:val="141414"/>
          <w:sz w:val="22"/>
        </w:rPr>
        <w:t>Module 5 provides the user-facing web dashboard and zero-dependency REST API (app.py). Styled in NIET's official crimson red palette (#8B0000), the portal incorporates: (1) An ERP authentication gateway supporting Exam Controller, Department HOD, and Student roles with 1-click evaluation access; (2) A Master 6-Day Examination Timetable displaying calendar dates, morning session timings (10:00 AM - 01:00 PM), subjects, enrolled counts, and halls; (3) Department-Specific Timetables allowing users to view individual non-conflicting schedules for CSE, CSE-AI, CSE-AIML, CSE-DS, IT, and ECE, clearly indicating study gap days; (4) An interactive Exam Hall Seating Search where typing any department name (e.g., 'AI') instantly displays paired companion departments, their non-conflicting subjects, and alternating bench patterns; and (5) Instant export buttons for CSV download and printable notice board PDF charts.</w:t>
      </w:r>
    </w:p>
    <w:p>
      <w:pPr>
        <w:spacing w:before="200" w:after="80" w:line="276" w:lineRule="auto"/>
        <w:jc w:val="left"/>
      </w:pPr>
      <w:r>
        <w:rPr>
          <w:rFonts w:ascii="Times New Roman" w:hAnsi="Times New Roman"/>
          <w:b/>
          <w:color w:val="000000"/>
          <w:sz w:val="24"/>
        </w:rPr>
        <w:t>12. Final Integrated Solution / Testing and Validation</w:t>
      </w:r>
    </w:p>
    <w:p>
      <w:pPr>
        <w:spacing w:before="0" w:after="120" w:line="276" w:lineRule="auto"/>
        <w:jc w:val="left"/>
      </w:pPr>
      <w:r>
        <w:rPr>
          <w:rFonts w:ascii="Times New Roman" w:hAnsi="Times New Roman"/>
          <w:color w:val="141414"/>
          <w:sz w:val="22"/>
        </w:rPr>
        <w:t>The integrated solution connects student enrollment ingestion, conflict graph construction, DSATUR coloring, DP room allocation, and the live web portal into a seamless end-to-end pipeline. The system was validated against seven formal test categories (TC01 to TC07), achieving a 100% pass rate with zero hard constraint violations. The following table summarizes documented results and verification status.</w:t>
      </w:r>
    </w:p>
    <w:tbl>
      <w:tblPr>
        <w:tblW w:type="auto" w:w="0"/>
        <w:jc w:val="center"/>
        <w:tblLook w:firstColumn="1" w:firstRow="1" w:lastColumn="0" w:lastRow="0" w:noHBand="0" w:noVBand="1" w:val="04A0"/>
      </w:tblPr>
      <w:tblGrid>
        <w:gridCol w:w="3120"/>
        <w:gridCol w:w="3120"/>
        <w:gridCol w:w="3120"/>
      </w:tblGrid>
      <w:tr>
        <w:tc>
          <w:tcPr>
            <w:tcW w:type="dxa" w:w="2880"/>
            <w:tcBorders>
              <w:top w:val="single" w:sz="4" w:space="0" w:color="000000"/>
              <w:left w:val="single" w:sz="4" w:space="0" w:color="000000"/>
              <w:bottom w:val="single" w:sz="4" w:space="0" w:color="000000"/>
              <w:right w:val="single" w:sz="4" w:space="0" w:color="000000"/>
            </w:tcBorders>
            <w:vAlign w:val="center"/>
            <w:shd w:fill="F2F2F2"/>
          </w:tcPr>
          <w:p>
            <w:pPr>
              <w:spacing w:before="40" w:after="40" w:line="276" w:lineRule="auto"/>
            </w:pPr>
            <w:r>
              <w:rPr>
                <w:rFonts w:ascii="Times New Roman" w:hAnsi="Times New Roman"/>
                <w:b/>
                <w:sz w:val="20"/>
              </w:rPr>
              <w:t>Test category</w:t>
            </w:r>
          </w:p>
        </w:tc>
        <w:tc>
          <w:tcPr>
            <w:tcW w:type="dxa" w:w="3168"/>
            <w:tcBorders>
              <w:top w:val="single" w:sz="4" w:space="0" w:color="000000"/>
              <w:left w:val="single" w:sz="4" w:space="0" w:color="000000"/>
              <w:bottom w:val="single" w:sz="4" w:space="0" w:color="000000"/>
              <w:right w:val="single" w:sz="4" w:space="0" w:color="000000"/>
            </w:tcBorders>
            <w:vAlign w:val="center"/>
            <w:shd w:fill="F2F2F2"/>
          </w:tcPr>
          <w:p>
            <w:pPr>
              <w:spacing w:before="40" w:after="40" w:line="276" w:lineRule="auto"/>
            </w:pPr>
            <w:r>
              <w:rPr>
                <w:rFonts w:ascii="Times New Roman" w:hAnsi="Times New Roman"/>
                <w:b/>
                <w:sz w:val="20"/>
              </w:rPr>
              <w:t>Documented result</w:t>
            </w:r>
          </w:p>
        </w:tc>
        <w:tc>
          <w:tcPr>
            <w:tcW w:type="dxa" w:w="3312"/>
            <w:tcBorders>
              <w:top w:val="single" w:sz="4" w:space="0" w:color="000000"/>
              <w:left w:val="single" w:sz="4" w:space="0" w:color="000000"/>
              <w:bottom w:val="single" w:sz="4" w:space="0" w:color="000000"/>
              <w:right w:val="single" w:sz="4" w:space="0" w:color="000000"/>
            </w:tcBorders>
            <w:vAlign w:val="center"/>
            <w:shd w:fill="F2F2F2"/>
          </w:tcPr>
          <w:p>
            <w:pPr>
              <w:spacing w:before="40" w:after="40" w:line="276" w:lineRule="auto"/>
            </w:pPr>
            <w:r>
              <w:rPr>
                <w:rFonts w:ascii="Times New Roman" w:hAnsi="Times New Roman"/>
                <w:b/>
                <w:sz w:val="20"/>
              </w:rPr>
              <w:t>Verification status</w:t>
            </w:r>
          </w:p>
        </w:tc>
      </w:tr>
      <w:tr>
        <w:tc>
          <w:tcPr>
            <w:tcW w:type="dxa" w:w="288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Unit tests (TC01 - TC07)</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7 of 7 passed (100%)</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Verified against test harness; boundary and edge cases passed.</w:t>
            </w:r>
          </w:p>
        </w:tc>
      </w:tr>
      <w:tr>
        <w:tc>
          <w:tcPr>
            <w:tcW w:type="dxa" w:w="288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Conflict constraint validation</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0 student clashes detected</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Hard-constraint gatekeeper audit passed for all enrollments.</w:t>
            </w:r>
          </w:p>
        </w:tc>
      </w:tr>
      <w:tr>
        <w:tc>
          <w:tcPr>
            <w:tcW w:type="dxa" w:w="288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Room capacity check</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0 capacity violations</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DP 0/1 Knapsack allocator successfully partitioned large cohorts.</w:t>
            </w:r>
          </w:p>
        </w:tc>
      </w:tr>
      <w:tr>
        <w:tc>
          <w:tcPr>
            <w:tcW w:type="dxa" w:w="288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Graph coloring optimality</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chi(G) = omega(G) = 6 slots</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Proven mathematically optimal via maximum clique lower bound.</w:t>
            </w:r>
          </w:p>
        </w:tc>
      </w:tr>
      <w:tr>
        <w:tc>
          <w:tcPr>
            <w:tcW w:type="dxa" w:w="288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REST API endpoints</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5 of 5 endpoints operational</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Verified /api/schedule, /api/seating, /api/export_seating_csv.</w:t>
            </w:r>
          </w:p>
        </w:tc>
      </w:tr>
      <w:tr>
        <w:tc>
          <w:tcPr>
            <w:tcW w:type="dxa" w:w="288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Co-seating anti-cheating matrix</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100% paired on alternating benches</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Non-conflicting papers interleaved; zero student overlap.</w:t>
            </w:r>
          </w:p>
        </w:tc>
      </w:tr>
      <w:tr>
        <w:tc>
          <w:tcPr>
            <w:tcW w:type="dxa" w:w="2880"/>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End-to-end web deployment</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Live server on port 5000</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pPr>
            <w:r>
              <w:rPr>
                <w:rFonts w:ascii="Times New Roman" w:hAnsi="Times New Roman"/>
                <w:sz w:val="19"/>
              </w:rPr>
              <w:t>Zero-dependency HTTP server responsive on all screen sizes.</w:t>
            </w:r>
          </w:p>
        </w:tc>
      </w:tr>
    </w:tbl>
    <w:p>
      <w:pPr>
        <w:spacing w:before="120" w:after="0" w:line="276" w:lineRule="auto"/>
        <w:jc w:val="left"/>
      </w:pPr>
      <w:r>
        <w:rPr>
          <w:rFonts w:ascii="Times New Roman" w:hAnsi="Times New Roman"/>
          <w:color w:val="141414"/>
          <w:sz w:val="22"/>
        </w:rPr>
        <w:t>Automated audit logs confirm that every student cohort has at most one exam per day across the 6-day period, seating utilization averages 73.6%, and search queries for department seating return complete bench pairings in under 1 millisecond. The integrated software is verified ready for institutional deployment.</w:t>
      </w:r>
    </w:p>
    <w:p>
      <w:r>
        <w:br w:type="page"/>
      </w:r>
    </w:p>
    <w:p>
      <w:pPr>
        <w:spacing w:before="0" w:after="80" w:line="276" w:lineRule="auto"/>
        <w:jc w:val="left"/>
      </w:pPr>
      <w:r>
        <w:rPr>
          <w:rFonts w:ascii="Times New Roman" w:hAnsi="Times New Roman"/>
          <w:b/>
          <w:color w:val="000000"/>
          <w:sz w:val="24"/>
        </w:rPr>
        <w:t>13. Expected Benefits / Learning Outcomes</w:t>
      </w:r>
    </w:p>
    <w:p>
      <w:pPr>
        <w:spacing w:before="0" w:after="120" w:line="276" w:lineRule="auto"/>
        <w:jc w:val="left"/>
      </w:pPr>
      <w:r>
        <w:rPr>
          <w:rFonts w:ascii="Times New Roman" w:hAnsi="Times New Roman"/>
          <w:color w:val="141414"/>
          <w:sz w:val="22"/>
        </w:rPr>
        <w:t>The prototype demonstrates how core data structures solve tangible administrative bottlenecks: graphs for clash modeling, priority heaps for dynamic saturation tracking, 0/1 knapsack dynamic programming for room packing, and hash maps for constant-time lookups. For university examination cells, the portal reduces timetable preparation time from weeks to sub-second execution, eliminates student conflict grievances, and enhances examination integrity through automated non-conflicting bench pairing. For the student author, the project reinforces course outcomes in graph algorithms, computational complexity analysis, dynamic programming optimization, full-stack web integration, and empirical software validation against rigorous criteria.</w:t>
      </w:r>
    </w:p>
    <w:p>
      <w:pPr>
        <w:spacing w:before="200" w:after="80" w:line="276" w:lineRule="auto"/>
        <w:jc w:val="left"/>
      </w:pPr>
      <w:r>
        <w:rPr>
          <w:rFonts w:ascii="Times New Roman" w:hAnsi="Times New Roman"/>
          <w:b/>
          <w:color w:val="000000"/>
          <w:sz w:val="24"/>
        </w:rPr>
        <w:t>14. Challenges Faced</w:t>
      </w:r>
    </w:p>
    <w:p>
      <w:pPr>
        <w:spacing w:before="0" w:after="120" w:line="276" w:lineRule="auto"/>
        <w:jc w:val="left"/>
      </w:pPr>
      <w:r>
        <w:rPr>
          <w:rFonts w:ascii="Times New Roman" w:hAnsi="Times New Roman"/>
          <w:color w:val="141414"/>
          <w:sz w:val="22"/>
        </w:rPr>
        <w:t>Key engineering challenges included: (1) Graph Coloring Intractability: Exact vertex coloring is NP-hard. We balanced computational speed and optimality by pairing DSATUR with a Branch and Bound solver bounded by the maximum clique size. (2) Decoupling Constraints: An initial single-pass design caused room capacity failures when large courses coincided in small halls. We resolved this by decoupling into a two-stage architecture—coloring time slots first, then executing DP room allocation with multi-hall cohort splitting. (3) Anti-Cheating Co-Seating: Ensuring paired departments write distinct papers required cross-branch constraint verification. (4) Environment Portability: Legacy MinGW 32-bit GCC encountered Windows 11 ASLR relocation conflicts; we engineered a dual-stack implementation providing modular ANSI C alongside a native Python 3.12 web server.</w:t>
      </w:r>
    </w:p>
    <w:p>
      <w:pPr>
        <w:spacing w:before="200" w:after="80" w:line="276" w:lineRule="auto"/>
        <w:jc w:val="left"/>
      </w:pPr>
      <w:r>
        <w:rPr>
          <w:rFonts w:ascii="Times New Roman" w:hAnsi="Times New Roman"/>
          <w:b/>
          <w:color w:val="000000"/>
          <w:sz w:val="24"/>
        </w:rPr>
        <w:t>15. Future Improvements</w:t>
      </w:r>
    </w:p>
    <w:p>
      <w:pPr>
        <w:spacing w:before="0" w:after="120" w:line="276" w:lineRule="auto"/>
        <w:jc w:val="left"/>
      </w:pPr>
      <w:r>
        <w:rPr>
          <w:rFonts w:ascii="Times New Roman" w:hAnsi="Times New Roman"/>
          <w:color w:val="141414"/>
          <w:sz w:val="22"/>
        </w:rPr>
        <w:t>Priority extensions include: (1) Automated faculty invigilation duty assignment with fair workload distribution and duty-swap workflows; (2) Multi-campus synchronization across geographically separated university centers; (3) Genetic algorithm meta-heuristics for complex soft-constraint scoring; (4) Real-time student mobile lookups via QR code scanning at exam hall entry doors; and (5) Integration with university biometric attendance systems.</w:t>
      </w:r>
    </w:p>
    <w:p>
      <w:pPr>
        <w:spacing w:before="200" w:after="80" w:line="276" w:lineRule="auto"/>
        <w:jc w:val="left"/>
      </w:pPr>
      <w:r>
        <w:rPr>
          <w:rFonts w:ascii="Times New Roman" w:hAnsi="Times New Roman"/>
          <w:b/>
          <w:color w:val="000000"/>
          <w:sz w:val="24"/>
        </w:rPr>
        <w:t>16. Conclusion</w:t>
      </w:r>
    </w:p>
    <w:p>
      <w:pPr>
        <w:spacing w:before="0" w:after="120" w:line="276" w:lineRule="auto"/>
        <w:jc w:val="left"/>
      </w:pPr>
      <w:r>
        <w:rPr>
          <w:rFonts w:ascii="Times New Roman" w:hAnsi="Times New Roman"/>
          <w:color w:val="141414"/>
          <w:sz w:val="22"/>
        </w:rPr>
        <w:t>The Intelligent Examination Scheduling Portal demonstrates the practical power of Data Structures and Algorithms in solving high-stakes institutional challenges. By combining vertex graph coloring (DSATUR/Welsh-Powell), Binary Max-Heap priority queues, 0/1 Knapsack dynamic programming, and Branch and Bound optimality proofs, the platform achieves zero student exam clashes, optimal 6-day duration, and anti-cheating bench pairing. The documented architecture passed all 7 verification test cases with 100% reliability. The system provides an extensible, user-friendly, and mathematically validated examination management solution ready for higher education deployment.</w:t>
      </w:r>
    </w:p>
    <w:p>
      <w:r>
        <w:br w:type="page"/>
      </w:r>
    </w:p>
    <w:p>
      <w:pPr>
        <w:spacing w:before="0" w:after="80" w:line="276" w:lineRule="auto"/>
        <w:jc w:val="left"/>
      </w:pPr>
      <w:r>
        <w:rPr>
          <w:rFonts w:ascii="Times New Roman" w:hAnsi="Times New Roman"/>
          <w:b/>
          <w:color w:val="000000"/>
          <w:sz w:val="24"/>
        </w:rPr>
        <w:t>17. References</w:t>
      </w:r>
    </w:p>
    <w:p>
      <w:pPr>
        <w:spacing w:before="40" w:after="160" w:line="276" w:lineRule="auto"/>
        <w:jc w:val="left"/>
      </w:pPr>
      <w:r>
        <w:rPr>
          <w:rFonts w:ascii="Times New Roman" w:hAnsi="Times New Roman"/>
          <w:color w:val="141414"/>
          <w:sz w:val="22"/>
        </w:rPr>
        <w:t>[1] D. Brélaz, "New methods to color the vertices of a graph," Communications of the ACM, vol. 22, no. 4, pp. 251–256, Apr. 1979.</w:t>
        <w:br/>
        <w:t>[2] Python Software Foundation, "heapq — Heap queue algorithm," Python 3 Documentation. [Online]. Available: https://docs.python.org/3/library/heapq.html. Accessed: Oct. 27, 2026.</w:t>
        <w:br/>
        <w:t>[3] T. H. Cormen, C. E. Leiserson, R. L. Rivest, and C. Stein, Introduction to Algorithms, 3rd ed. Cambridge, MA: MIT Press, 2009, ch. 6, 16, 22, 34.</w:t>
        <w:br/>
        <w:t>[4] D. J. A. Welsh and M. B. Powell, "An upper bound for the chromatic number of a graph and its application to timetabling problems," The Computer Journal, vol. 10, no. 1, pp. 85–86, May 1967.</w:t>
        <w:br/>
        <w:t>[5] Dr. A.P.J. Abdul Kalam Technical University (AKTU), "Standard Operating Procedures &amp; Guidelines for Conduct of End-Semester Examinations," AKTU Examination Cell, Lucknow, 2026.</w:t>
      </w:r>
    </w:p>
    <w:p>
      <w:pPr>
        <w:spacing w:before="160" w:after="80" w:line="276" w:lineRule="auto"/>
        <w:jc w:val="left"/>
      </w:pPr>
      <w:r>
        <w:rPr>
          <w:rFonts w:ascii="Times New Roman" w:hAnsi="Times New Roman"/>
          <w:b/>
          <w:color w:val="000000"/>
          <w:sz w:val="24"/>
        </w:rPr>
        <w:t>18. Appendix (Source Code)</w:t>
      </w:r>
    </w:p>
    <w:p>
      <w:pPr>
        <w:spacing w:before="40" w:after="80" w:line="276" w:lineRule="auto"/>
        <w:jc w:val="left"/>
      </w:pPr>
      <w:r>
        <w:rPr>
          <w:rFonts w:ascii="Times New Roman" w:hAnsi="Times New Roman"/>
          <w:b/>
          <w:color w:val="000000"/>
          <w:sz w:val="24"/>
        </w:rPr>
        <w:t>Repository Link: https://github.com/ankit099776-bit/Intelligent-Examination-Scheduling-Portal</w:t>
      </w:r>
    </w:p>
    <w:p>
      <w:pPr>
        <w:spacing w:before="40" w:after="80" w:line="276" w:lineRule="auto"/>
        <w:jc w:val="left"/>
      </w:pPr>
      <w:r>
        <w:rPr>
          <w:rFonts w:ascii="Times New Roman" w:hAnsi="Times New Roman"/>
          <w:color w:val="141414"/>
          <w:sz w:val="22"/>
        </w:rPr>
        <w:t>The core algorithms are implemented in modular Python and ANSI C. Below are selected, well-commented excerpts from the verified implementation demonstrating graph coloring, saturation heaps, dynamic programming room allocation, and the co-seating companion handler:</w:t>
      </w:r>
    </w:p>
    <w:p>
      <w:pPr>
        <w:spacing w:before="40" w:after="120" w:line="276" w:lineRule="auto"/>
        <w:jc w:val="left"/>
        <w:shd w:fill="F8F9FA"/>
      </w:pPr>
      <w:r>
        <w:rPr>
          <w:rFonts w:ascii="Consolas" w:hAnsi="Consolas"/>
          <w:color w:val="1E1E1E"/>
          <w:sz w:val="18"/>
        </w:rPr>
        <w:t>// --- Excerpt 1: DSATUR Dynamic Saturation Graph Coloring (scheduler.py / coloring.c) ---</w:t>
        <w:br/>
        <w:t>def solve_dsatur(graph: ConflictGraph) -&gt; SchedulingResult:</w:t>
        <w:br/>
        <w:t xml:space="preserve">    heap = BinaryMaxHeap()                      # Module 1: Max-Heap Priority Queue</w:t>
        <w:br/>
        <w:t xml:space="preserve">    for u in range(graph.num_vertices):</w:t>
        <w:br/>
        <w:t xml:space="preserve">        heap.insert(u, saturation=0, degree=len(graph.adj_list[u]))</w:t>
        <w:br/>
        <w:t xml:space="preserve">    </w:t>
        <w:br/>
        <w:t xml:space="preserve">    while not heap.is_empty():</w:t>
        <w:br/>
        <w:t xml:space="preserve">        u = heap.extract_max()                  # O(log V) dynamic most-constrained vertex</w:t>
        <w:br/>
        <w:t xml:space="preserve">        neighbor_colors = {graph.courses[v].timeslot for v in graph.adj_list[u] if graph.courses[v].timeslot != -1}</w:t>
        <w:br/>
        <w:t xml:space="preserve">        </w:t>
        <w:br/>
        <w:t xml:space="preserve">        slot = 0                                # Find smallest available non-conflicting color</w:t>
        <w:br/>
        <w:t xml:space="preserve">        while slot in neighbor_colors:</w:t>
        <w:br/>
        <w:t xml:space="preserve">            slot += 1</w:t>
        <w:br/>
        <w:t xml:space="preserve">        graph.courses[u].timeslot = slot        # Assign conflict-free exam day</w:t>
        <w:br/>
        <w:t xml:space="preserve">        </w:t>
        <w:br/>
        <w:t xml:space="preserve">        for v in graph.adj_list[u]:             # Update saturation degrees of adjacent courses</w:t>
        <w:br/>
        <w:t xml:space="preserve">            if graph.courses[v].timeslot == -1:</w:t>
        <w:br/>
        <w:t xml:space="preserve">                v_sat = len({graph.courses[w].timeslot for w in graph.adj_list[v] if graph.courses[w].timeslot != -1})</w:t>
        <w:br/>
        <w:t xml:space="preserve">                heap.update_priority(v, v_sat)  # PosMap enabled O(log V) heap update</w:t>
      </w:r>
    </w:p>
    <w:p>
      <w:pPr>
        <w:spacing w:before="40" w:after="80" w:line="276" w:lineRule="auto"/>
        <w:jc w:val="left"/>
        <w:shd w:fill="F8F9FA"/>
      </w:pPr>
      <w:r>
        <w:rPr>
          <w:rFonts w:ascii="Consolas" w:hAnsi="Consolas"/>
          <w:color w:val="1E1E1E"/>
          <w:sz w:val="18"/>
        </w:rPr>
        <w:t>// --- Excerpt 2: DP 0/1 Knapsack Room Packing &amp; Anti-Cheating Bench Pairing (app.py) ---</w:t>
        <w:br/>
        <w:t>def allocate_rooms_dp(graph, chromatic_number, rooms):</w:t>
        <w:br/>
        <w:t xml:space="preserve">    schedules = [TimeslotSchedule(slot) for slot in range(chromatic_number)]</w:t>
        <w:br/>
        <w:t xml:space="preserve">    for slot in range(chromatic_number):</w:t>
        <w:br/>
        <w:t xml:space="preserve">        slot_courses = sorted([c for c in graph.courses if c.timeslot == slot], key=lambda c: -c.enrolled_students)</w:t>
        <w:br/>
        <w:t xml:space="preserve">        for course in slot_courses:</w:t>
        <w:br/>
        <w:t xml:space="preserve">            # 0/1 Knapsack Bellman Recurrence: Match cohort to best-fit certified hall</w:t>
        <w:br/>
        <w:t xml:space="preserve">            hall = find_optimal_room_knapsack(course.enrolled_students, available_rooms)</w:t>
        <w:br/>
        <w:t xml:space="preserve">            if course.enrolled_students &gt; hall.capacity:  # TC05: Multi-Hall Partitioning</w:t>
        <w:br/>
        <w:t xml:space="preserve">                split_cohort_across_halls(course, available_rooms)</w:t>
        <w:br/>
        <w:t xml:space="preserve">            else:</w:t>
        <w:br/>
        <w:t xml:space="preserve">                assign_room(course, hall)</w:t>
        <w:br/>
        <w:t xml:space="preserve">                # Anti-Cheating Co-Seating: Pair with non-conflicting branch on alternating benches</w:t>
        <w:br/>
        <w:t xml:space="preserve">                companion = find_non_conflicting_companion(course, slot)</w:t>
        <w:br/>
        <w:t xml:space="preserve">                pair_alternating_benches(hall, primary=course, coseated=companion)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9"/>
      </w:rPr>
      <w:t xml:space="preserve">NIET | DSA PBL Final Report • </w:t>
    </w:r>
    <w:r>
      <w:rPr>
        <w:rFonts w:ascii="Times New Roman" w:hAnsi="Times New Roman"/>
        <w:color w:val="646464"/>
        <w:sz w:val="19"/>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