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Hosting Options Evaluation</w:t>
      </w:r>
    </w:p>
    <w:p>
      <w:pPr>
        <w:spacing w:after="40"/>
      </w:pPr>
      <w:r>
        <w:rPr>
          <w:b/>
          <w:bCs/>
          <w:color w:val="2E5395"/>
          <w:sz w:val="28"/>
          <w:szCs w:val="28"/>
        </w:rPr>
        <w:t xml:space="preserve">GoDaddy &amp; Oracle Cloud — Pharma ERP Hosting</w:t>
      </w:r>
    </w:p>
    <w:p>
      <w:pPr>
        <w:spacing w:after="300"/>
      </w:pPr>
      <w:r>
        <w:rPr>
          <w:i/>
          <w:iCs/>
          <w:color w:val="595959"/>
          <w:sz w:val="20"/>
          <w:szCs w:val="20"/>
        </w:rPr>
        <w:t xml:space="preserve">Prepared: September 24, 2026</w:t>
      </w:r>
    </w:p>
    <w:p>
      <w:pPr>
        <w:pBdr>
          <w:bottom w:val="single" w:color="BFBFBF" w:sz="6" w:space="1"/>
        </w:pBdr>
        <w:spacing w:after="260" w:before="100"/>
      </w:pPr>
    </w:p>
    <w:p>
      <w:pPr>
        <w:pStyle w:val="Heading2"/>
        <w:spacing w:after="120" w:before="280"/>
      </w:pPr>
      <w:r>
        <w:t xml:space="preserve">Project Context</w:t>
      </w:r>
    </w:p>
    <w:p>
      <w:pPr>
        <w:spacing w:after="160" w:line="300"/>
      </w:pPr>
      <w:r>
        <w:t xml:space="preserve">The Pharma ERP application is a pnpm + Turborepo monorepo consisting of a Next.js 15 (React 19) frontend (apps/web) and a NestJS 11 backend API (apps/api), sharing a Prisma-based PostgreSQL 16 database layer (packages/database). The database enforces multi-tenant data isolation using PostgreSQL Row-Level Security (RLS), implemented through a two-role connection model: an owner role used for schema migrations, and a restricted “pharma_app” role used for runtime queries so that RLS policies are actually enforced. The project's current hosting target is Render, via an existing render.yaml Blueprint that provisions two web services and a managed PostgreSQL database.</w:t>
      </w:r>
    </w:p>
    <w:p>
      <w:pPr>
        <w:pStyle w:val="Heading2"/>
        <w:spacing w:after="120" w:before="280"/>
      </w:pPr>
      <w:r>
        <w:t xml:space="preserve">Purpose of This Document</w:t>
      </w:r>
    </w:p>
    <w:p>
      <w:pPr>
        <w:spacing w:after="160" w:line="300"/>
      </w:pPr>
      <w:r>
        <w:t xml:space="preserve">This document evaluates GoDaddy and Oracle Cloud as cost-focused hosting alternatives to Render, service by service, and lays out a plan for supporting two environments — Production and Testing/Staging — within the constraints of each option. Because the application's security model depends specifically on PostgreSQL and Prisma, particular attention is given to whether each option can run that database layer unmodified.</w:t>
      </w:r>
    </w:p>
    <w:p>
      <w:pPr>
        <w:pStyle w:val="Heading1"/>
        <w:spacing w:after="160" w:before="360"/>
      </w:pPr>
      <w:r>
        <w:t xml:space="preserve">1. GoDaddy Services — Suitability, Pros &amp; Cons</w:t>
      </w:r>
    </w:p>
    <w:p>
      <w:pPr>
        <w:spacing w:after="160" w:line="300"/>
      </w:pPr>
      <w:r>
        <w:t xml:space="preserve">Three GoDaddy offerings are relevant to this project: VPS Hosting, Node.js Hosting, and Domain/DNS registration. Each is assessed below against the project's requirements.</w:t>
      </w:r>
    </w:p>
    <w:p>
      <w:pPr>
        <w:pStyle w:val="Heading2"/>
        <w:spacing w:after="120" w:before="280"/>
      </w:pPr>
      <w:r>
        <w:t xml:space="preserve">1.1 GoDaddy VPS Hosting</w:t>
      </w:r>
    </w:p>
    <w:p>
      <w:pPr>
        <w:spacing w:after="160" w:line="300"/>
      </w:pPr>
      <w:r>
        <w:t xml:space="preserve">A raw Linux virtual private server with root access. It carries no application platform of its own — using it means self-managing everything via Docker Compose, the same general approach as a Hetzner or DigitalOcean droplet.</w:t>
      </w:r>
    </w:p>
    <w:p>
      <w:pPr>
        <w:spacing w:after="140"/>
      </w:pPr>
      <w:r>
        <w:rPr>
          <w:b/>
          <w:bCs/>
        </w:rPr>
        <w:t xml:space="preserve">Suitability: </w:t>
      </w:r>
      <w:r>
        <w:t xml:space="preserve">Technically viable. Full root access means PostgreSQL and the existing Prisma/RLS setup can run completely unmodified.</w:t>
      </w:r>
    </w:p>
    <w:p>
      <w:pPr>
        <w:pStyle w:val="Heading3"/>
        <w:spacing w:after="100" w:before="200"/>
      </w:pPr>
      <w:r>
        <w:t xml:space="preserve">Pros</w:t>
      </w:r>
    </w:p>
    <w:p>
      <w:pPr>
        <w:pStyle w:val="ListParagraph"/>
        <w:numPr>
          <w:ilvl w:val="0"/>
          <w:numId w:val="2"/>
        </w:numPr>
        <w:spacing w:after="80" w:line="280"/>
      </w:pPr>
      <w:r>
        <w:rPr>
          <w:b/>
          <w:bCs/>
          <w:color w:val="1B7A3D"/>
        </w:rPr>
        <w:t xml:space="preserve">Full control:  </w:t>
      </w:r>
      <w:r>
        <w:t xml:space="preserve">Root access supports PostgreSQL, Docker, and the existing RLS/two-role setup exactly as designed — no re-architecture required.</w:t>
      </w:r>
    </w:p>
    <w:p>
      <w:pPr>
        <w:pStyle w:val="ListParagraph"/>
        <w:numPr>
          <w:ilvl w:val="0"/>
          <w:numId w:val="2"/>
        </w:numPr>
        <w:spacing w:after="80" w:line="280"/>
      </w:pPr>
      <w:r>
        <w:rPr>
          <w:b/>
          <w:bCs/>
          <w:color w:val="1B7A3D"/>
        </w:rPr>
        <w:t xml:space="preserve">Single vendor:  </w:t>
      </w:r>
      <w:r>
        <w:t xml:space="preserve">Domain and hosting billing consolidated under one account.</w:t>
      </w:r>
    </w:p>
    <w:p>
      <w:pPr>
        <w:pStyle w:val="ListParagraph"/>
        <w:numPr>
          <w:ilvl w:val="0"/>
          <w:numId w:val="2"/>
        </w:numPr>
        <w:spacing w:after="80" w:line="280"/>
      </w:pPr>
      <w:r>
        <w:rPr>
          <w:b/>
          <w:bCs/>
          <w:color w:val="1B7A3D"/>
        </w:rPr>
        <w:t xml:space="preserve">Backups included:  </w:t>
      </w:r>
      <w:r>
        <w:t xml:space="preserve">Snapshot backups are included on VPS plans.</w:t>
      </w:r>
    </w:p>
    <w:p>
      <w:pPr>
        <w:pStyle w:val="Heading3"/>
        <w:spacing w:after="100" w:before="200"/>
      </w:pPr>
      <w:r>
        <w:t xml:space="preserve">Cons</w:t>
      </w:r>
    </w:p>
    <w:p>
      <w:pPr>
        <w:pStyle w:val="ListParagraph"/>
        <w:numPr>
          <w:ilvl w:val="0"/>
          <w:numId w:val="2"/>
        </w:numPr>
        <w:spacing w:after="80" w:line="280"/>
      </w:pPr>
      <w:r>
        <w:rPr>
          <w:b/>
          <w:bCs/>
          <w:color w:val="B00020"/>
        </w:rPr>
        <w:t xml:space="preserve">Pricing structure:  </w:t>
      </w:r>
      <w:r>
        <w:t xml:space="preserve">The lowest advertised price (from $8.99/mo) requires a 3-year prepaid term; shorter terms cost more, and renewal pricing after the promotional period increases substantially.</w:t>
      </w:r>
    </w:p>
    <w:p>
      <w:pPr>
        <w:pStyle w:val="ListParagraph"/>
        <w:numPr>
          <w:ilvl w:val="0"/>
          <w:numId w:val="2"/>
        </w:numPr>
        <w:spacing w:after="80" w:line="280"/>
      </w:pPr>
      <w:r>
        <w:rPr>
          <w:b/>
          <w:bCs/>
          <w:color w:val="B00020"/>
        </w:rPr>
        <w:t xml:space="preserve">Weaker value:  </w:t>
      </w:r>
      <w:r>
        <w:t xml:space="preserve">Lower specs per dollar than comparable providers — e.g. Hetzner's CX22 offers 2 vCPU / 4GB RAM at a flat, non-escalating ~$4–$5/mo.</w:t>
      </w:r>
    </w:p>
    <w:p>
      <w:pPr>
        <w:pStyle w:val="ListParagraph"/>
        <w:numPr>
          <w:ilvl w:val="0"/>
          <w:numId w:val="2"/>
        </w:numPr>
        <w:spacing w:after="80" w:line="280"/>
      </w:pPr>
      <w:r>
        <w:rPr>
          <w:b/>
          <w:bCs/>
          <w:color w:val="B00020"/>
        </w:rPr>
        <w:t xml:space="preserve">Full ops burden:  </w:t>
      </w:r>
      <w:r>
        <w:t xml:space="preserve">OS patching, TLS certificates, Postgres upgrades, backup verification, and security monitoring are entirely the user's responsibility — no managed platform safety net.</w:t>
      </w:r>
    </w:p>
    <w:p>
      <w:pPr>
        <w:pStyle w:val="ListParagraph"/>
        <w:numPr>
          <w:ilvl w:val="0"/>
          <w:numId w:val="2"/>
        </w:numPr>
        <w:spacing w:after="80" w:line="280"/>
      </w:pPr>
      <w:r>
        <w:rPr>
          <w:b/>
          <w:bCs/>
          <w:color w:val="B00020"/>
        </w:rPr>
        <w:t xml:space="preserve">No CI/CD:  </w:t>
      </w:r>
      <w:r>
        <w:t xml:space="preserve">No built-in deploy pipeline; a deployment process must be scripted manually.</w:t>
      </w:r>
    </w:p>
    <w:p>
      <w:pPr>
        <w:pStyle w:val="ListParagraph"/>
        <w:numPr>
          <w:ilvl w:val="0"/>
          <w:numId w:val="2"/>
        </w:numPr>
        <w:spacing w:after="80" w:line="280"/>
      </w:pPr>
      <w:r>
        <w:rPr>
          <w:b/>
          <w:bCs/>
          <w:color w:val="B00020"/>
        </w:rPr>
        <w:t xml:space="preserve">Smaller ecosystem:  </w:t>
      </w:r>
      <w:r>
        <w:t xml:space="preserve">Fewer guides, community tools, and one-click images for this kind of Node.js/Postgres stack compared to Hetzner or DigitalOcean.</w:t>
      </w:r>
    </w:p>
    <w:p>
      <w:pPr>
        <w:pStyle w:val="ListParagraph"/>
        <w:numPr>
          <w:ilvl w:val="0"/>
          <w:numId w:val="2"/>
        </w:numPr>
        <w:spacing w:after="80" w:line="280"/>
      </w:pPr>
      <w:r>
        <w:rPr>
          <w:b/>
          <w:bCs/>
          <w:color w:val="B00020"/>
        </w:rPr>
        <w:t xml:space="preserve">Compliance risk:  </w:t>
      </w:r>
      <w:r>
        <w:t xml:space="preserve">Self-managing security patching for an application handling pharma/compliance-sensitive data is a meaningful operational risk, not just inconvenience.</w:t>
      </w:r>
    </w:p>
    <w:p>
      <w:pPr>
        <w:pStyle w:val="Heading2"/>
        <w:spacing w:after="120" w:before="280"/>
      </w:pPr>
      <w:r>
        <w:t xml:space="preserve">1.2 GoDaddy Node.js Hosting</w:t>
      </w:r>
    </w:p>
    <w:p>
      <w:pPr>
        <w:spacing w:after="160" w:line="300"/>
      </w:pPr>
      <w:r>
        <w:t xml:space="preserve">A newer managed application platform (launched around August 2026), bundled at no extra cost with GoDaddy Web Hosting plans (Economy $9.99/mo, Deluxe $13.99/mo, Ultimate $17.99/mo). It runs applications as persistent processes rather than serverless functions and explicitly lists Next.js and Nest.js as supported frameworks.</w:t>
      </w:r>
    </w:p>
    <w:p>
      <w:pPr>
        <w:spacing w:after="140"/>
      </w:pPr>
      <w:r>
        <w:rPr>
          <w:b/>
          <w:bCs/>
          <w:color w:val="B00020"/>
        </w:rPr>
        <w:t xml:space="preserve">Suitability: </w:t>
      </w:r>
      <w:r>
        <w:t xml:space="preserve">Not usable for this project as currently architected — see the database restriction below.</w:t>
      </w:r>
    </w:p>
    <w:p>
      <w:pPr>
        <w:pStyle w:val="Heading3"/>
        <w:spacing w:after="100" w:before="200"/>
      </w:pPr>
      <w:r>
        <w:t xml:space="preserve">Pros</w:t>
      </w:r>
    </w:p>
    <w:p>
      <w:pPr>
        <w:pStyle w:val="ListParagraph"/>
        <w:numPr>
          <w:ilvl w:val="0"/>
          <w:numId w:val="2"/>
        </w:numPr>
        <w:spacing w:after="80" w:line="280"/>
      </w:pPr>
      <w:r>
        <w:rPr>
          <w:b/>
          <w:bCs/>
          <w:color w:val="1B7A3D"/>
        </w:rPr>
        <w:t xml:space="preserve">Framework fit:  </w:t>
      </w:r>
      <w:r>
        <w:t xml:space="preserve">Natively supports Next.js and Nest.js as long-running processes — no serverless-style code redesign needed.</w:t>
      </w:r>
    </w:p>
    <w:p>
      <w:pPr>
        <w:pStyle w:val="ListParagraph"/>
        <w:numPr>
          <w:ilvl w:val="0"/>
          <w:numId w:val="2"/>
        </w:numPr>
        <w:spacing w:after="80" w:line="280"/>
      </w:pPr>
      <w:r>
        <w:rPr>
          <w:b/>
          <w:bCs/>
          <w:color w:val="1B7A3D"/>
        </w:rPr>
        <w:t xml:space="preserve">Included extras:  </w:t>
      </w:r>
      <w:r>
        <w:t xml:space="preserve">Automatic HTTPS, CDN, and web application firewall included by default.</w:t>
      </w:r>
    </w:p>
    <w:p>
      <w:pPr>
        <w:pStyle w:val="ListParagraph"/>
        <w:numPr>
          <w:ilvl w:val="0"/>
          <w:numId w:val="2"/>
        </w:numPr>
        <w:spacing w:after="80" w:line="280"/>
      </w:pPr>
      <w:r>
        <w:rPr>
          <w:b/>
          <w:bCs/>
          <w:color w:val="1B7A3D"/>
        </w:rPr>
        <w:t xml:space="preserve">Flat pricing:  </w:t>
      </w:r>
      <w:r>
        <w:t xml:space="preserve">No per-request or per-gigabyte charges; bundled free with an existing Web Hosting plan.</w:t>
      </w:r>
    </w:p>
    <w:p>
      <w:pPr>
        <w:pStyle w:val="ListParagraph"/>
        <w:numPr>
          <w:ilvl w:val="0"/>
          <w:numId w:val="2"/>
        </w:numPr>
        <w:spacing w:after="80" w:line="280"/>
      </w:pPr>
      <w:r>
        <w:rPr>
          <w:b/>
          <w:bCs/>
          <w:color w:val="1B7A3D"/>
        </w:rPr>
        <w:t xml:space="preserve">Capacity for two services:  </w:t>
      </w:r>
      <w:r>
        <w:t xml:space="preserve">The Deluxe plan allows up to 10 published apps, comfortably covering the two services this project needs.</w:t>
      </w:r>
    </w:p>
    <w:p>
      <w:pPr>
        <w:pStyle w:val="Heading3"/>
        <w:spacing w:after="100" w:before="200"/>
      </w:pPr>
      <w:r>
        <w:t xml:space="preserve">Cons — including a hard blocker</w:t>
      </w:r>
    </w:p>
    <w:p>
      <w:pPr>
        <w:pStyle w:val="ListParagraph"/>
        <w:numPr>
          <w:ilvl w:val="0"/>
          <w:numId w:val="2"/>
        </w:numPr>
        <w:spacing w:after="80" w:line="280"/>
      </w:pPr>
      <w:r>
        <w:rPr>
          <w:b/>
          <w:bCs/>
          <w:color w:val="B00020"/>
        </w:rPr>
        <w:t xml:space="preserve">Database restriction (blocker):  </w:t>
      </w:r>
      <w:r>
        <w:t xml:space="preserve">Outbound connections are limited to HTTP/80, HTTPS/443, and GoDaddy's own managed MySQL. External PostgreSQL — self-hosted or managed (Neon, Supabase, RDS, etc.) — is unreachable on its standard port.</w:t>
      </w:r>
    </w:p>
    <w:p>
      <w:pPr>
        <w:pStyle w:val="ListParagraph"/>
        <w:numPr>
          <w:ilvl w:val="0"/>
          <w:numId w:val="2"/>
        </w:numPr>
        <w:spacing w:after="80" w:line="280"/>
      </w:pPr>
      <w:r>
        <w:rPr>
          <w:b/>
          <w:bCs/>
          <w:color w:val="B00020"/>
        </w:rPr>
        <w:t xml:space="preserve">Architecture conflict:  </w:t>
      </w:r>
      <w:r>
        <w:t xml:space="preserve">This project's Row-Level Security multi-tenant isolation is implemented specifically in PostgreSQL. MySQL has no equivalent native RLS mechanism, so using this platform would require rebuilding tenant isolation at the application layer — a data-layer and security-model rewrite, not a configuration change.</w:t>
      </w:r>
    </w:p>
    <w:p>
      <w:pPr>
        <w:pStyle w:val="ListParagraph"/>
        <w:numPr>
          <w:ilvl w:val="0"/>
          <w:numId w:val="2"/>
        </w:numPr>
        <w:spacing w:after="80" w:line="280"/>
      </w:pPr>
      <w:r>
        <w:rPr>
          <w:b/>
          <w:bCs/>
          <w:color w:val="B00020"/>
        </w:rPr>
        <w:t xml:space="preserve">Platform maturity:  </w:t>
      </w:r>
      <w:r>
        <w:t xml:space="preserve">Launched only weeks before this evaluation; less production track record than established platforms.</w:t>
      </w:r>
    </w:p>
    <w:p>
      <w:pPr>
        <w:pStyle w:val="ListParagraph"/>
        <w:numPr>
          <w:ilvl w:val="0"/>
          <w:numId w:val="2"/>
        </w:numPr>
        <w:spacing w:after="80" w:line="280"/>
      </w:pPr>
      <w:r>
        <w:rPr>
          <w:b/>
          <w:bCs/>
          <w:color w:val="B00020"/>
        </w:rPr>
        <w:t xml:space="preserve">Additional constraints:  </w:t>
      </w:r>
      <w:r>
        <w:t xml:space="preserve">100MB upload size limit; outbound SMTP is blocked in favor of an internal email gateway.</w:t>
      </w:r>
    </w:p>
    <w:p>
      <w:pPr>
        <w:spacing w:after="200"/>
      </w:pPr>
      <w:r>
        <w:rPr>
          <w:b/>
          <w:bCs/>
          <w:color w:val="B00020"/>
        </w:rPr>
        <w:t xml:space="preserve">Verdict: </w:t>
      </w:r>
      <w:r>
        <w:t xml:space="preserve">Do not pursue this option unless a full rewrite of the database layer and tenant-isolation security model (Postgres/RLS → MySQL) is acceptable.</w:t>
      </w:r>
    </w:p>
    <w:p>
      <w:pPr>
        <w:pStyle w:val="Heading2"/>
        <w:spacing w:after="120" w:before="280"/>
      </w:pPr>
      <w:r>
        <w:t xml:space="preserve">1.3 GoDaddy Domain &amp; DNS</w:t>
      </w:r>
    </w:p>
    <w:p>
      <w:pPr>
        <w:spacing w:after="160" w:line="300"/>
      </w:pPr>
      <w:r>
        <w:t xml:space="preserve">GoDaddy's core, original service: domain name registration and DNS management.</w:t>
      </w:r>
    </w:p>
    <w:p>
      <w:pPr>
        <w:spacing w:after="140"/>
      </w:pPr>
      <w:r>
        <w:rPr>
          <w:b/>
          <w:bCs/>
          <w:color w:val="1B7A3D"/>
        </w:rPr>
        <w:t xml:space="preserve">Suitability: </w:t>
      </w:r>
      <w:r>
        <w:t xml:space="preserve">Recommended — for this purpose only. Keep the domain registered with GoDaddy and point DNS records (A/CNAME) at whichever compute host is ultimately chosen for the application itself.</w:t>
      </w:r>
    </w:p>
    <w:p>
      <w:pPr>
        <w:pStyle w:val="Heading3"/>
        <w:spacing w:after="100" w:before="200"/>
      </w:pPr>
      <w:r>
        <w:t xml:space="preserve">Pros</w:t>
      </w:r>
    </w:p>
    <w:p>
      <w:pPr>
        <w:pStyle w:val="ListParagraph"/>
        <w:numPr>
          <w:ilvl w:val="0"/>
          <w:numId w:val="2"/>
        </w:numPr>
        <w:spacing w:after="80" w:line="280"/>
      </w:pPr>
      <w:r>
        <w:rPr>
          <w:b/>
          <w:bCs/>
          <w:color w:val="1B7A3D"/>
        </w:rPr>
        <w:t xml:space="preserve">Already in place:  </w:t>
      </w:r>
      <w:r>
        <w:t xml:space="preserve">Domain is already owned/familiar within GoDaddy's dashboard.</w:t>
      </w:r>
    </w:p>
    <w:p>
      <w:pPr>
        <w:pStyle w:val="ListParagraph"/>
        <w:numPr>
          <w:ilvl w:val="0"/>
          <w:numId w:val="2"/>
        </w:numPr>
        <w:spacing w:after="80" w:line="280"/>
      </w:pPr>
      <w:r>
        <w:rPr>
          <w:b/>
          <w:bCs/>
          <w:color w:val="1B7A3D"/>
        </w:rPr>
        <w:t xml:space="preserve">Simple management:  </w:t>
      </w:r>
      <w:r>
        <w:t xml:space="preserve">Standard DNS record management, independent of which host serves the application.</w:t>
      </w:r>
    </w:p>
    <w:p>
      <w:pPr>
        <w:pStyle w:val="Heading3"/>
        <w:spacing w:after="100" w:before="200"/>
      </w:pPr>
      <w:r>
        <w:t xml:space="preserve">Cons</w:t>
      </w:r>
    </w:p>
    <w:p>
      <w:pPr>
        <w:pStyle w:val="ListParagraph"/>
        <w:numPr>
          <w:ilvl w:val="0"/>
          <w:numId w:val="2"/>
        </w:numPr>
        <w:spacing w:after="80" w:line="280"/>
      </w:pPr>
      <w:r>
        <w:rPr>
          <w:b/>
          <w:bCs/>
          <w:color w:val="595959"/>
        </w:rPr>
        <w:t xml:space="preserve">None significant:  </w:t>
      </w:r>
      <w:r>
        <w:t xml:space="preserve">For domain/DNS specifically — as opposed to compute or database hosting — there are no material downsides identified.</w:t>
      </w:r>
    </w:p>
    <w:p>
      <w:pPr>
        <w:pStyle w:val="Heading1"/>
        <w:spacing w:after="160" w:before="360"/>
      </w:pPr>
      <w:r>
        <w:t xml:space="preserve">2. Oracle Cloud “Always Free” Tier — Services &amp; Usefulness</w:t>
      </w:r>
    </w:p>
    <w:p>
      <w:pPr>
        <w:spacing w:after="160" w:line="300"/>
      </w:pPr>
      <w:r>
        <w:t xml:space="preserve">Oracle Cloud Infrastructure (OCI) offers a set of resources that remain free for the life of the account, not just a trial period. The relevant services for this project, and how each would be used, are described below.</w:t>
      </w:r>
    </w:p>
    <w:p>
      <w:pPr>
        <w:pStyle w:val="Heading2"/>
        <w:spacing w:after="120" w:before="280"/>
      </w:pPr>
      <w:r>
        <w:t xml:space="preserve">2.1 Compute — Ampere A1 (ARM), Flex Shape</w:t>
      </w:r>
    </w:p>
    <w:p>
      <w:pPr>
        <w:spacing w:after="160" w:line="300"/>
      </w:pPr>
      <w:r>
        <w:t xml:space="preserve">2 OCPUs and 12 GB RAM total, free for the life of the account. This allocation is flexible — it can run as a single VM or be split across multiple smaller VMs.</w:t>
      </w:r>
    </w:p>
    <w:p>
      <w:pPr>
        <w:spacing w:after="180"/>
      </w:pPr>
      <w:r>
        <w:rPr>
          <w:b/>
          <w:bCs/>
          <w:color w:val="0B5394"/>
        </w:rPr>
        <w:t xml:space="preserve">Use for this project: </w:t>
      </w:r>
      <w:r>
        <w:t xml:space="preserve">Run apps/web, apps/api, and a self-hosted PostgreSQL container together via Docker Compose.</w:t>
      </w:r>
    </w:p>
    <w:p>
      <w:pPr>
        <w:pStyle w:val="Heading2"/>
        <w:spacing w:after="120" w:before="280"/>
      </w:pPr>
      <w:r>
        <w:t xml:space="preserve">2.2 Block Storage</w:t>
      </w:r>
    </w:p>
    <w:p>
      <w:pPr>
        <w:spacing w:after="160" w:line="300"/>
      </w:pPr>
      <w:r>
        <w:t xml:space="preserve">200 GB combined boot and data volume storage, free.</w:t>
      </w:r>
    </w:p>
    <w:p>
      <w:pPr>
        <w:spacing w:after="180"/>
      </w:pPr>
      <w:r>
        <w:rPr>
          <w:b/>
          <w:bCs/>
          <w:color w:val="0B5394"/>
        </w:rPr>
        <w:t xml:space="preserve">Use for this project: </w:t>
      </w:r>
      <w:r>
        <w:t xml:space="preserve">Operating system, application code, and the PostgreSQL data volume.</w:t>
      </w:r>
    </w:p>
    <w:p>
      <w:pPr>
        <w:pStyle w:val="Heading2"/>
        <w:spacing w:after="120" w:before="280"/>
      </w:pPr>
      <w:r>
        <w:t xml:space="preserve">2.3 Networking — VCN &amp; Load Balancer</w:t>
      </w:r>
    </w:p>
    <w:p>
      <w:pPr>
        <w:spacing w:after="160" w:line="300"/>
      </w:pPr>
      <w:r>
        <w:t xml:space="preserve">Up to 2 Virtual Cloud Networks and one flexible-shape Load Balancer (10 Mbps), plus 10 TB of outbound data transfer per month — all free.</w:t>
      </w:r>
    </w:p>
    <w:p>
      <w:pPr>
        <w:spacing w:after="180"/>
      </w:pPr>
      <w:r>
        <w:rPr>
          <w:b/>
          <w:bCs/>
          <w:color w:val="0B5394"/>
        </w:rPr>
        <w:t xml:space="preserve">Use for this project: </w:t>
      </w:r>
      <w:r>
        <w:t xml:space="preserve">Reverse proxy and TLS termination in front of the web and API services. 10 TB of monthly egress is far beyond what a small ERP application would use.</w:t>
      </w:r>
    </w:p>
    <w:p>
      <w:pPr>
        <w:pStyle w:val="Heading2"/>
        <w:spacing w:after="120" w:before="280"/>
      </w:pPr>
      <w:r>
        <w:t xml:space="preserve">2.4 Email Delivery</w:t>
      </w:r>
    </w:p>
    <w:p>
      <w:pPr>
        <w:spacing w:after="160" w:line="300"/>
      </w:pPr>
      <w:r>
        <w:t xml:space="preserve">3,000 emails per month, free.</w:t>
      </w:r>
    </w:p>
    <w:p>
      <w:pPr>
        <w:spacing w:after="180"/>
      </w:pPr>
      <w:r>
        <w:rPr>
          <w:b/>
          <w:bCs/>
          <w:color w:val="0B5394"/>
        </w:rPr>
        <w:t xml:space="preserve">Use for this project: </w:t>
      </w:r>
      <w:r>
        <w:t xml:space="preserve">Transactional email — password resets, account notifications, and similar system messages.</w:t>
      </w:r>
    </w:p>
    <w:p>
      <w:pPr>
        <w:pStyle w:val="Heading2"/>
        <w:spacing w:after="120" w:before="280"/>
      </w:pPr>
      <w:r>
        <w:t xml:space="preserve">2.5 Object Storage</w:t>
      </w:r>
    </w:p>
    <w:p>
      <w:pPr>
        <w:spacing w:after="160" w:line="300"/>
      </w:pPr>
      <w:r>
        <w:t xml:space="preserve">10 GB free across storage tiers.</w:t>
      </w:r>
    </w:p>
    <w:p>
      <w:pPr>
        <w:spacing w:after="180"/>
      </w:pPr>
      <w:r>
        <w:rPr>
          <w:b/>
          <w:bCs/>
          <w:color w:val="0B5394"/>
        </w:rPr>
        <w:t xml:space="preserve">Use for this project: </w:t>
      </w:r>
      <w:r>
        <w:t xml:space="preserve">File uploads and exported database backups.</w:t>
      </w:r>
    </w:p>
    <w:p>
      <w:pPr>
        <w:pStyle w:val="Heading2"/>
        <w:spacing w:after="120" w:before="280"/>
      </w:pPr>
      <w:r>
        <w:t xml:space="preserve">2.6 Monitoring, Logging &amp; Certificates</w:t>
      </w:r>
    </w:p>
    <w:p>
      <w:pPr>
        <w:spacing w:after="160" w:line="300"/>
      </w:pPr>
      <w:r>
        <w:t xml:space="preserve">Basic tiers of Oracle's monitoring, logging, and certificate management services are included free.</w:t>
      </w:r>
    </w:p>
    <w:p>
      <w:pPr>
        <w:spacing w:after="180"/>
      </w:pPr>
      <w:r>
        <w:rPr>
          <w:b/>
          <w:bCs/>
          <w:color w:val="0B5394"/>
        </w:rPr>
        <w:t xml:space="preserve">Use for this project: </w:t>
      </w:r>
      <w:r>
        <w:t xml:space="preserve">Uptime and log visibility, and certificate management, at no additional cost.</w:t>
      </w:r>
    </w:p>
    <w:p>
      <w:pPr>
        <w:pStyle w:val="Heading2"/>
        <w:spacing w:after="120" w:before="280"/>
      </w:pPr>
      <w:r>
        <w:t xml:space="preserve">2.7 Database — Important Limitation</w:t>
      </w:r>
    </w:p>
    <w:p>
      <w:pPr>
        <w:spacing w:after="160" w:line="300"/>
      </w:pPr>
      <w:r>
        <w:t xml:space="preserve">Oracle's Always Free “Autonomous Database” is </w:t>
      </w:r>
      <w:r>
        <w:rPr>
          <w:b/>
          <w:bCs/>
          <w:color w:val="B00020"/>
        </w:rPr>
        <w:t xml:space="preserve">Oracle Database, not PostgreSQL</w:t>
      </w:r>
      <w:r>
        <w:t xml:space="preserve">. This project's ORM (Prisma) has no support for Oracle Database, and the Row-Level Security implementation this project relies on is PostgreSQL-native. Adopting Autonomous Database would require a full rewrite of the data access layer and the tenant-isolation security model — the same category of problem as GoDaddy Node.js Hosting's MySQL restriction.</w:t>
      </w:r>
    </w:p>
    <w:p>
      <w:pPr>
        <w:spacing w:after="220" w:line="300"/>
      </w:pPr>
      <w:r>
        <w:rPr>
          <w:b/>
          <w:bCs/>
          <w:color w:val="1B7A3D"/>
        </w:rPr>
        <w:t xml:space="preserve">Recommendation: </w:t>
      </w:r>
      <w:r>
        <w:t xml:space="preserve">Do not use Autonomous Database. Instead, self-host PostgreSQL 16 in a Docker container on the free Ampere A1 VM, directly reusing the docker-compose.yml pattern already present in this repository for local development. This keeps Prisma and the RLS setup completely unchanged, at $0 database cost.</w:t>
      </w:r>
    </w:p>
    <w:p>
      <w:pPr>
        <w:pStyle w:val="Heading2"/>
        <w:spacing w:after="120" w:before="280"/>
      </w:pPr>
      <w:r>
        <w:t xml:space="preserve">2.8 Known Risks &amp; Caveats</w:t>
      </w:r>
    </w:p>
    <w:p>
      <w:pPr>
        <w:pStyle w:val="ListParagraph"/>
        <w:numPr>
          <w:ilvl w:val="0"/>
          <w:numId w:val="2"/>
        </w:numPr>
        <w:spacing w:after="80" w:line="280"/>
      </w:pPr>
      <w:r>
        <w:rPr>
          <w:b/>
          <w:bCs/>
          <w:color w:val="B00020"/>
        </w:rPr>
        <w:t xml:space="preserve">Idle reclamation:  </w:t>
      </w:r>
      <w:r>
        <w:t xml:space="preserve">Oracle may reclaim an Always Free Ampere VM if CPU, network, and memory utilization all stay under 20% for 7 consecutive days — a genuine risk during an early, low-traffic period.</w:t>
      </w:r>
    </w:p>
    <w:p>
      <w:pPr>
        <w:pStyle w:val="ListParagraph"/>
        <w:numPr>
          <w:ilvl w:val="0"/>
          <w:numId w:val="2"/>
        </w:numPr>
        <w:spacing w:after="80" w:line="280"/>
      </w:pPr>
      <w:r>
        <w:rPr>
          <w:b/>
          <w:bCs/>
          <w:color w:val="B00020"/>
        </w:rPr>
        <w:t xml:space="preserve">Regional capacity:  </w:t>
      </w:r>
      <w:r>
        <w:t xml:space="preserve">Ampere (ARM) free-tier capacity has been reported as inconsistently available in some regions at account signup.</w:t>
      </w:r>
    </w:p>
    <w:p>
      <w:pPr>
        <w:pStyle w:val="ListParagraph"/>
        <w:numPr>
          <w:ilvl w:val="0"/>
          <w:numId w:val="2"/>
        </w:numPr>
        <w:spacing w:after="80" w:line="280"/>
      </w:pPr>
      <w:r>
        <w:rPr>
          <w:b/>
          <w:bCs/>
          <w:color w:val="B00020"/>
        </w:rPr>
        <w:t xml:space="preserve">Overage pricing:  </w:t>
      </w:r>
      <w:r>
        <w:t xml:space="preserve">Usage beyond the free allocations (additional compute, storage, egress, or VCNs) converts to standard pay-as-you-go OCI pricing.</w:t>
      </w:r>
    </w:p>
    <w:p>
      <w:pPr>
        <w:pStyle w:val="ListParagraph"/>
        <w:numPr>
          <w:ilvl w:val="0"/>
          <w:numId w:val="2"/>
        </w:numPr>
        <w:spacing w:after="80" w:line="280"/>
      </w:pPr>
      <w:r>
        <w:rPr>
          <w:b/>
          <w:bCs/>
          <w:color w:val="B00020"/>
        </w:rPr>
        <w:t xml:space="preserve">WAF not included free:  </w:t>
      </w:r>
      <w:r>
        <w:t xml:space="preserve">Oracle's managed Web Application Firewall is a paid add-on; a free Cloudflare proxy in front of the application is a no-cost alternative.</w:t>
      </w:r>
    </w:p>
    <w:p>
      <w:pPr>
        <w:pStyle w:val="ListParagraph"/>
        <w:numPr>
          <w:ilvl w:val="0"/>
          <w:numId w:val="2"/>
        </w:numPr>
        <w:spacing w:after="80" w:line="280"/>
      </w:pPr>
      <w:r>
        <w:rPr>
          <w:b/>
          <w:bCs/>
          <w:color w:val="B00020"/>
        </w:rPr>
        <w:t xml:space="preserve">Backup storage growth:  </w:t>
      </w:r>
      <w:r>
        <w:t xml:space="preserve">Automated off-VM PostgreSQL backups beyond the 10 GB free Object Storage tier will incur a small overage cost as the database grows.</w:t>
      </w:r>
    </w:p>
    <w:p>
      <w:pPr>
        <w:pStyle w:val="Heading1"/>
        <w:spacing w:after="160" w:before="360"/>
      </w:pPr>
      <w:r>
        <w:t xml:space="preserve">3. Two-Environment Plan — Production + Testing/Staging</w:t>
      </w:r>
    </w:p>
    <w:p>
      <w:pPr>
        <w:spacing w:after="160" w:line="300"/>
      </w:pPr>
      <w:r>
        <w:t xml:space="preserve">Oracle's Always Free Ampere allocation (2 OCPUs / 12 GB RAM) is a combined total for the account, not a per-environment grant. Running fully separate, persistent Production and Testing environments on the free tier therefore involves a real tradeoff. Two options are presented below; the choice depends on how important a persistently-available staging environment is versus maximizing Production's resource headroom.</w:t>
      </w:r>
    </w:p>
    <w:p>
      <w:pPr>
        <w:pStyle w:val="Heading2"/>
        <w:spacing w:after="120" w:before="280"/>
      </w:pPr>
      <w:r>
        <w:t xml:space="preserve">3.1 Option A — Split the Ampere Budget 1 + 1</w:t>
      </w:r>
    </w:p>
    <w:p>
      <w:pPr>
        <w:spacing w:after="160" w:line="300"/>
      </w:pPr>
      <w:r>
        <w:t xml:space="preserve">One VM at 1 OCPU / 6 GB RAM for Production, and a second VM at 1 OCPU / 6 GB RAM for Testing. Both run persistently and both remain free.</w:t>
      </w:r>
    </w:p>
    <w:p>
      <w:pPr>
        <w:pStyle w:val="Heading3"/>
        <w:spacing w:after="100" w:before="200"/>
      </w:pPr>
      <w:r>
        <w:t xml:space="preserve">Pros</w:t>
      </w:r>
    </w:p>
    <w:p>
      <w:pPr>
        <w:pStyle w:val="ListParagraph"/>
        <w:numPr>
          <w:ilvl w:val="0"/>
          <w:numId w:val="2"/>
        </w:numPr>
        <w:spacing w:after="80" w:line="280"/>
      </w:pPr>
      <w:r>
        <w:rPr>
          <w:b/>
          <w:bCs/>
          <w:color w:val="1B7A3D"/>
        </w:rPr>
        <w:t xml:space="preserve">Always available:  </w:t>
      </w:r>
      <w:r>
        <w:t xml:space="preserve">Both environments are online at all times, supporting on-demand demos and manual testing.</w:t>
      </w:r>
    </w:p>
    <w:p>
      <w:pPr>
        <w:pStyle w:val="ListParagraph"/>
        <w:numPr>
          <w:ilvl w:val="0"/>
          <w:numId w:val="2"/>
        </w:numPr>
        <w:spacing w:after="80" w:line="280"/>
      </w:pPr>
      <w:r>
        <w:rPr>
          <w:b/>
          <w:bCs/>
          <w:color w:val="1B7A3D"/>
        </w:rPr>
        <w:t xml:space="preserve">Parity:  </w:t>
      </w:r>
      <w:r>
        <w:t xml:space="preserve">Testing runs the same stack shape as Production, improving confidence that a passing test environment reflects Production behavior.</w:t>
      </w:r>
    </w:p>
    <w:p>
      <w:pPr>
        <w:pStyle w:val="Heading3"/>
        <w:spacing w:after="100" w:before="200"/>
      </w:pPr>
      <w:r>
        <w:t xml:space="preserve">Cons</w:t>
      </w:r>
    </w:p>
    <w:p>
      <w:pPr>
        <w:pStyle w:val="ListParagraph"/>
        <w:numPr>
          <w:ilvl w:val="0"/>
          <w:numId w:val="2"/>
        </w:numPr>
        <w:spacing w:after="80" w:line="280"/>
      </w:pPr>
      <w:r>
        <w:rPr>
          <w:b/>
          <w:bCs/>
          <w:color w:val="B00020"/>
        </w:rPr>
        <w:t xml:space="preserve">Reduced headroom:  </w:t>
      </w:r>
      <w:r>
        <w:t xml:space="preserve">Each environment runs the full three-service stack (Next.js + NestJS + PostgreSQL) on half of an already modest free budget — tight for a Production system handling compliance-sensitive data.</w:t>
      </w:r>
    </w:p>
    <w:p>
      <w:pPr>
        <w:pStyle w:val="ListParagraph"/>
        <w:numPr>
          <w:ilvl w:val="0"/>
          <w:numId w:val="2"/>
        </w:numPr>
        <w:spacing w:after="80" w:line="280"/>
      </w:pPr>
      <w:r>
        <w:rPr>
          <w:b/>
          <w:bCs/>
          <w:color w:val="B00020"/>
        </w:rPr>
        <w:t xml:space="preserve">Shared ceiling:  </w:t>
      </w:r>
      <w:r>
        <w:t xml:space="preserve">Production and Testing draw from the same total free quota, so growth in either environment is constrained by the other.</w:t>
      </w:r>
    </w:p>
    <w:p>
      <w:pPr>
        <w:pStyle w:val="Heading2"/>
        <w:spacing w:after="120" w:before="280"/>
      </w:pPr>
      <w:r>
        <w:t xml:space="preserve">3.2 Option B — Full Budget to Production, Lightweight Testing</w:t>
      </w:r>
    </w:p>
    <w:p>
      <w:pPr>
        <w:spacing w:after="160" w:line="300"/>
      </w:pPr>
      <w:r>
        <w:t xml:space="preserve">The full 2 OCPU / 12 GB Ampere allocation is dedicated to Production. Testing is handled without a full, permanently-running duplicate stack, via one of:</w:t>
      </w:r>
    </w:p>
    <w:p>
      <w:pPr>
        <w:pStyle w:val="ListParagraph"/>
        <w:numPr>
          <w:ilvl w:val="0"/>
          <w:numId w:val="2"/>
        </w:numPr>
        <w:spacing w:after="80" w:line="280"/>
      </w:pPr>
      <w:r>
        <w:rPr>
          <w:b/>
          <w:bCs/>
          <w:color w:val="404040"/>
        </w:rPr>
        <w:t xml:space="preserve">(a) Always Free AMD Micro instance:  </w:t>
      </w:r>
      <w:r>
        <w:t xml:space="preserve">Two separate Micro instances (1/8 OCPU, 1 GB RAM each) are available in addition to the Ampere allocation, but 1 GB RAM is likely too small to comfortably run the full three-service stack together — suitable at most for very light smoke tests.</w:t>
      </w:r>
    </w:p>
    <w:p>
      <w:pPr>
        <w:pStyle w:val="ListParagraph"/>
        <w:numPr>
          <w:ilvl w:val="0"/>
          <w:numId w:val="2"/>
        </w:numPr>
        <w:spacing w:after="80" w:line="280"/>
      </w:pPr>
      <w:r>
        <w:rPr>
          <w:b/>
          <w:bCs/>
          <w:color w:val="404040"/>
        </w:rPr>
        <w:t xml:space="preserve">(b) Ephemeral CI-based testing:  </w:t>
      </w:r>
      <w:r>
        <w:t xml:space="preserve">Run integration tests via GitHub Actions (or similar), spinning up the existing docker-compose.yml for the duration of a test run and tearing it down afterward, rather than maintaining a permanently-hosted staging server at all.</w:t>
      </w:r>
    </w:p>
    <w:p>
      <w:pPr>
        <w:pStyle w:val="Heading3"/>
        <w:spacing w:after="100" w:before="200"/>
      </w:pPr>
      <w:r>
        <w:t xml:space="preserve">Pros</w:t>
      </w:r>
    </w:p>
    <w:p>
      <w:pPr>
        <w:pStyle w:val="ListParagraph"/>
        <w:numPr>
          <w:ilvl w:val="0"/>
          <w:numId w:val="2"/>
        </w:numPr>
        <w:spacing w:after="80" w:line="280"/>
      </w:pPr>
      <w:r>
        <w:rPr>
          <w:b/>
          <w:bCs/>
          <w:color w:val="1B7A3D"/>
        </w:rPr>
        <w:t xml:space="preserve">Maximum Production headroom:  </w:t>
      </w:r>
      <w:r>
        <w:t xml:space="preserve">Production runs with the full free compute budget and no resource contention from a parallel environment.</w:t>
      </w:r>
    </w:p>
    <w:p>
      <w:pPr>
        <w:pStyle w:val="ListParagraph"/>
        <w:numPr>
          <w:ilvl w:val="0"/>
          <w:numId w:val="2"/>
        </w:numPr>
        <w:spacing w:after="80" w:line="280"/>
      </w:pPr>
      <w:r>
        <w:rPr>
          <w:b/>
          <w:bCs/>
          <w:color w:val="1B7A3D"/>
        </w:rPr>
        <w:t xml:space="preserve">No added cost:  </w:t>
      </w:r>
      <w:r>
        <w:t xml:space="preserve">Ephemeral CI-based testing is a common industry practice and costs nothing beyond CI minutes already typically included free by most CI providers for small projects.</w:t>
      </w:r>
    </w:p>
    <w:p>
      <w:pPr>
        <w:pStyle w:val="Heading3"/>
        <w:spacing w:after="100" w:before="200"/>
      </w:pPr>
      <w:r>
        <w:t xml:space="preserve">Cons</w:t>
      </w:r>
    </w:p>
    <w:p>
      <w:pPr>
        <w:pStyle w:val="ListParagraph"/>
        <w:numPr>
          <w:ilvl w:val="0"/>
          <w:numId w:val="2"/>
        </w:numPr>
        <w:spacing w:after="80" w:line="280"/>
      </w:pPr>
      <w:r>
        <w:rPr>
          <w:b/>
          <w:bCs/>
          <w:color w:val="B00020"/>
        </w:rPr>
        <w:t xml:space="preserve">No always-on staging URL:  </w:t>
      </w:r>
      <w:r>
        <w:t xml:space="preserve">There is no persistent environment to browse or demo outside of a test run (CI option), or only a resource-constrained one (Micro-instance option).</w:t>
      </w:r>
    </w:p>
    <w:p>
      <w:pPr>
        <w:pStyle w:val="Heading2"/>
        <w:spacing w:after="120" w:before="280"/>
      </w:pPr>
      <w:r>
        <w:t xml:space="preserve">3.3 Comparison</w:t>
      </w:r>
    </w:p>
    <w:p>
      <w:pPr>
        <w:spacing w:after="260"/>
      </w:pP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300"/>
        <w:gridCol w:w="3300"/>
      </w:tblGrid>
      <w:tr>
        <w:tc>
          <w:tcPr>
            <w:tcW w:type="dxa" w:w="2600"/>
            <w:shd w:fill="1F3864" w:val="clear"/>
            <w:tcMar>
              <w:top w:type="dxa" w:w="100"/>
              <w:left w:type="dxa" w:w="120"/>
              <w:bottom w:type="dxa" w:w="100"/>
              <w:right w:type="dxa" w:w="120"/>
            </w:tcMar>
          </w:tcPr>
          <w:p>
            <w:r>
              <w:rPr>
                <w:b/>
                <w:bCs/>
                <w:color w:val="FFFFFF"/>
                <w:sz w:val="20"/>
                <w:szCs w:val="20"/>
              </w:rPr>
              <w:t xml:space="preserve"/>
            </w:r>
          </w:p>
        </w:tc>
        <w:tc>
          <w:tcPr>
            <w:tcW w:type="dxa" w:w="3300"/>
            <w:shd w:fill="1F3864" w:val="clear"/>
            <w:tcMar>
              <w:top w:type="dxa" w:w="100"/>
              <w:left w:type="dxa" w:w="120"/>
              <w:bottom w:type="dxa" w:w="100"/>
              <w:right w:type="dxa" w:w="120"/>
            </w:tcMar>
          </w:tcPr>
          <w:p>
            <w:r>
              <w:rPr>
                <w:b/>
                <w:bCs/>
                <w:color w:val="FFFFFF"/>
                <w:sz w:val="20"/>
                <w:szCs w:val="20"/>
              </w:rPr>
              <w:t xml:space="preserve">Option A — Split 1+1</w:t>
            </w:r>
          </w:p>
        </w:tc>
        <w:tc>
          <w:tcPr>
            <w:tcW w:type="dxa" w:w="3300"/>
            <w:shd w:fill="1F3864" w:val="clear"/>
            <w:tcMar>
              <w:top w:type="dxa" w:w="100"/>
              <w:left w:type="dxa" w:w="120"/>
              <w:bottom w:type="dxa" w:w="100"/>
              <w:right w:type="dxa" w:w="120"/>
            </w:tcMar>
          </w:tcPr>
          <w:p>
            <w:r>
              <w:rPr>
                <w:b/>
                <w:bCs/>
                <w:color w:val="FFFFFF"/>
                <w:sz w:val="20"/>
                <w:szCs w:val="20"/>
              </w:rPr>
              <w:t xml:space="preserve">Option B — Full Budget to Prod</w:t>
            </w:r>
          </w:p>
        </w:tc>
      </w:tr>
      <w:tr>
        <w:tc>
          <w:tcPr>
            <w:tcW w:type="dxa" w:w="2600"/>
            <w:tcMar>
              <w:top w:type="dxa" w:w="100"/>
              <w:left w:type="dxa" w:w="120"/>
              <w:bottom w:type="dxa" w:w="100"/>
              <w:right w:type="dxa" w:w="120"/>
            </w:tcMar>
          </w:tcPr>
          <w:p>
            <w:r>
              <w:rPr>
                <w:b/>
                <w:bCs/>
                <w:sz w:val="20"/>
                <w:szCs w:val="20"/>
              </w:rPr>
              <w:t xml:space="preserve">Persistent staging URL?</w:t>
            </w:r>
          </w:p>
        </w:tc>
        <w:tc>
          <w:tcPr>
            <w:tcW w:type="dxa" w:w="3300"/>
            <w:tcMar>
              <w:top w:type="dxa" w:w="100"/>
              <w:left w:type="dxa" w:w="120"/>
              <w:bottom w:type="dxa" w:w="100"/>
              <w:right w:type="dxa" w:w="120"/>
            </w:tcMar>
          </w:tcPr>
          <w:p>
            <w:r>
              <w:rPr>
                <w:b w:val="false"/>
                <w:bCs w:val="false"/>
                <w:sz w:val="20"/>
                <w:szCs w:val="20"/>
              </w:rPr>
              <w:t xml:space="preserve">Yes — always available</w:t>
            </w:r>
          </w:p>
        </w:tc>
        <w:tc>
          <w:tcPr>
            <w:tcW w:type="dxa" w:w="3300"/>
            <w:tcMar>
              <w:top w:type="dxa" w:w="100"/>
              <w:left w:type="dxa" w:w="120"/>
              <w:bottom w:type="dxa" w:w="100"/>
              <w:right w:type="dxa" w:w="120"/>
            </w:tcMar>
          </w:tcPr>
          <w:p>
            <w:r>
              <w:rPr>
                <w:b w:val="false"/>
                <w:bCs w:val="false"/>
                <w:sz w:val="20"/>
                <w:szCs w:val="20"/>
              </w:rPr>
              <w:t xml:space="preserve">No (CI option) / Limited (Micro-instance option)</w:t>
            </w:r>
          </w:p>
        </w:tc>
      </w:tr>
      <w:tr>
        <w:tc>
          <w:tcPr>
            <w:tcW w:type="dxa" w:w="2600"/>
            <w:tcMar>
              <w:top w:type="dxa" w:w="100"/>
              <w:left w:type="dxa" w:w="120"/>
              <w:bottom w:type="dxa" w:w="100"/>
              <w:right w:type="dxa" w:w="120"/>
            </w:tcMar>
          </w:tcPr>
          <w:p>
            <w:r>
              <w:rPr>
                <w:b/>
                <w:bCs/>
                <w:sz w:val="20"/>
                <w:szCs w:val="20"/>
              </w:rPr>
              <w:t xml:space="preserve">Production headroom</w:t>
            </w:r>
          </w:p>
        </w:tc>
        <w:tc>
          <w:tcPr>
            <w:tcW w:type="dxa" w:w="3300"/>
            <w:tcMar>
              <w:top w:type="dxa" w:w="100"/>
              <w:left w:type="dxa" w:w="120"/>
              <w:bottom w:type="dxa" w:w="100"/>
              <w:right w:type="dxa" w:w="120"/>
            </w:tcMar>
          </w:tcPr>
          <w:p>
            <w:r>
              <w:rPr>
                <w:b w:val="false"/>
                <w:bCs w:val="false"/>
                <w:sz w:val="20"/>
                <w:szCs w:val="20"/>
              </w:rPr>
              <w:t xml:space="preserve">Reduced — shares total free quota with testing</w:t>
            </w:r>
          </w:p>
        </w:tc>
        <w:tc>
          <w:tcPr>
            <w:tcW w:type="dxa" w:w="3300"/>
            <w:tcMar>
              <w:top w:type="dxa" w:w="100"/>
              <w:left w:type="dxa" w:w="120"/>
              <w:bottom w:type="dxa" w:w="100"/>
              <w:right w:type="dxa" w:w="120"/>
            </w:tcMar>
          </w:tcPr>
          <w:p>
            <w:r>
              <w:rPr>
                <w:b w:val="false"/>
                <w:bCs w:val="false"/>
                <w:sz w:val="20"/>
                <w:szCs w:val="20"/>
              </w:rPr>
              <w:t xml:space="preserve">Full — entire 2 OCPU / 12GB allocation</w:t>
            </w:r>
          </w:p>
        </w:tc>
      </w:tr>
      <w:tr>
        <w:tc>
          <w:tcPr>
            <w:tcW w:type="dxa" w:w="2600"/>
            <w:tcMar>
              <w:top w:type="dxa" w:w="100"/>
              <w:left w:type="dxa" w:w="120"/>
              <w:bottom w:type="dxa" w:w="100"/>
              <w:right w:type="dxa" w:w="120"/>
            </w:tcMar>
          </w:tcPr>
          <w:p>
            <w:r>
              <w:rPr>
                <w:b/>
                <w:bCs/>
                <w:sz w:val="20"/>
                <w:szCs w:val="20"/>
              </w:rPr>
              <w:t xml:space="preserve">Ops complexity</w:t>
            </w:r>
          </w:p>
        </w:tc>
        <w:tc>
          <w:tcPr>
            <w:tcW w:type="dxa" w:w="3300"/>
            <w:tcMar>
              <w:top w:type="dxa" w:w="100"/>
              <w:left w:type="dxa" w:w="120"/>
              <w:bottom w:type="dxa" w:w="100"/>
              <w:right w:type="dxa" w:w="120"/>
            </w:tcMar>
          </w:tcPr>
          <w:p>
            <w:r>
              <w:rPr>
                <w:b w:val="false"/>
                <w:bCs w:val="false"/>
                <w:sz w:val="20"/>
                <w:szCs w:val="20"/>
              </w:rPr>
              <w:t xml:space="preserve">Two persistent stacks to maintain</w:t>
            </w:r>
          </w:p>
        </w:tc>
        <w:tc>
          <w:tcPr>
            <w:tcW w:type="dxa" w:w="3300"/>
            <w:tcMar>
              <w:top w:type="dxa" w:w="100"/>
              <w:left w:type="dxa" w:w="120"/>
              <w:bottom w:type="dxa" w:w="100"/>
              <w:right w:type="dxa" w:w="120"/>
            </w:tcMar>
          </w:tcPr>
          <w:p>
            <w:r>
              <w:rPr>
                <w:b w:val="false"/>
                <w:bCs w:val="false"/>
                <w:sz w:val="20"/>
                <w:szCs w:val="20"/>
              </w:rPr>
              <w:t xml:space="preserve">One persistent stack; CI config or a constrained Micro box</w:t>
            </w:r>
          </w:p>
        </w:tc>
      </w:tr>
      <w:tr>
        <w:tc>
          <w:tcPr>
            <w:tcW w:type="dxa" w:w="2600"/>
            <w:tcMar>
              <w:top w:type="dxa" w:w="100"/>
              <w:left w:type="dxa" w:w="120"/>
              <w:bottom w:type="dxa" w:w="100"/>
              <w:right w:type="dxa" w:w="120"/>
            </w:tcMar>
          </w:tcPr>
          <w:p>
            <w:r>
              <w:rPr>
                <w:b/>
                <w:bCs/>
                <w:sz w:val="20"/>
                <w:szCs w:val="20"/>
              </w:rPr>
              <w:t xml:space="preserve">Cost</w:t>
            </w:r>
          </w:p>
        </w:tc>
        <w:tc>
          <w:tcPr>
            <w:tcW w:type="dxa" w:w="3300"/>
            <w:tcMar>
              <w:top w:type="dxa" w:w="100"/>
              <w:left w:type="dxa" w:w="120"/>
              <w:bottom w:type="dxa" w:w="100"/>
              <w:right w:type="dxa" w:w="120"/>
            </w:tcMar>
          </w:tcPr>
          <w:p>
            <w:r>
              <w:rPr>
                <w:b w:val="false"/>
                <w:bCs w:val="false"/>
                <w:sz w:val="20"/>
                <w:szCs w:val="20"/>
              </w:rPr>
              <w:t xml:space="preserve">$0</w:t>
            </w:r>
          </w:p>
        </w:tc>
        <w:tc>
          <w:tcPr>
            <w:tcW w:type="dxa" w:w="3300"/>
            <w:tcMar>
              <w:top w:type="dxa" w:w="100"/>
              <w:left w:type="dxa" w:w="120"/>
              <w:bottom w:type="dxa" w:w="100"/>
              <w:right w:type="dxa" w:w="120"/>
            </w:tcMar>
          </w:tcPr>
          <w:p>
            <w:r>
              <w:rPr>
                <w:b w:val="false"/>
                <w:bCs w:val="false"/>
                <w:sz w:val="20"/>
                <w:szCs w:val="20"/>
              </w:rPr>
              <w:t xml:space="preserve">$0</w:t>
            </w:r>
          </w:p>
        </w:tc>
      </w:tr>
    </w:tbl>
    <w:p>
      <w:pPr>
        <w:spacing w:after="300"/>
      </w:pPr>
    </w:p>
    <w:p>
      <w:pPr>
        <w:pStyle w:val="Heading1"/>
        <w:spacing w:after="160" w:before="360"/>
      </w:pPr>
      <w:r>
        <w:t xml:space="preserve">4. Summary Comparison</w:t>
      </w:r>
    </w:p>
    <w:tbl>
      <w:tblPr>
        <w:tblW w:type="dxa" w:w="100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1500"/>
        <w:gridCol w:w="2300"/>
        <w:gridCol w:w="1500"/>
        <w:gridCol w:w="2100"/>
      </w:tblGrid>
      <w:tr>
        <w:tc>
          <w:tcPr>
            <w:tcW w:type="dxa" w:w="2600"/>
            <w:shd w:fill="1F3864" w:val="clear"/>
            <w:tcMar>
              <w:top w:type="dxa" w:w="100"/>
              <w:left w:type="dxa" w:w="120"/>
              <w:bottom w:type="dxa" w:w="100"/>
              <w:right w:type="dxa" w:w="120"/>
            </w:tcMar>
          </w:tcPr>
          <w:p>
            <w:r>
              <w:rPr>
                <w:b/>
                <w:bCs/>
                <w:color w:val="FFFFFF"/>
                <w:sz w:val="20"/>
                <w:szCs w:val="20"/>
              </w:rPr>
              <w:t xml:space="preserve">Option</w:t>
            </w:r>
          </w:p>
        </w:tc>
        <w:tc>
          <w:tcPr>
            <w:tcW w:type="dxa" w:w="1500"/>
            <w:shd w:fill="1F3864" w:val="clear"/>
            <w:tcMar>
              <w:top w:type="dxa" w:w="100"/>
              <w:left w:type="dxa" w:w="120"/>
              <w:bottom w:type="dxa" w:w="100"/>
              <w:right w:type="dxa" w:w="120"/>
            </w:tcMar>
          </w:tcPr>
          <w:p>
            <w:r>
              <w:rPr>
                <w:b/>
                <w:bCs/>
                <w:color w:val="FFFFFF"/>
                <w:sz w:val="20"/>
                <w:szCs w:val="20"/>
              </w:rPr>
              <w:t xml:space="preserve">Monthly Cost</w:t>
            </w:r>
          </w:p>
        </w:tc>
        <w:tc>
          <w:tcPr>
            <w:tcW w:type="dxa" w:w="2300"/>
            <w:shd w:fill="1F3864" w:val="clear"/>
            <w:tcMar>
              <w:top w:type="dxa" w:w="100"/>
              <w:left w:type="dxa" w:w="120"/>
              <w:bottom w:type="dxa" w:w="100"/>
              <w:right w:type="dxa" w:w="120"/>
            </w:tcMar>
          </w:tcPr>
          <w:p>
            <w:r>
              <w:rPr>
                <w:b/>
                <w:bCs/>
                <w:color w:val="FFFFFF"/>
                <w:sz w:val="20"/>
                <w:szCs w:val="20"/>
              </w:rPr>
              <w:t xml:space="preserve">Postgres + RLS as-is?</w:t>
            </w:r>
          </w:p>
        </w:tc>
        <w:tc>
          <w:tcPr>
            <w:tcW w:type="dxa" w:w="1500"/>
            <w:shd w:fill="1F3864" w:val="clear"/>
            <w:tcMar>
              <w:top w:type="dxa" w:w="100"/>
              <w:left w:type="dxa" w:w="120"/>
              <w:bottom w:type="dxa" w:w="100"/>
              <w:right w:type="dxa" w:w="120"/>
            </w:tcMar>
          </w:tcPr>
          <w:p>
            <w:r>
              <w:rPr>
                <w:b/>
                <w:bCs/>
                <w:color w:val="FFFFFF"/>
                <w:sz w:val="20"/>
                <w:szCs w:val="20"/>
              </w:rPr>
              <w:t xml:space="preserve">Ops Effort</w:t>
            </w:r>
          </w:p>
        </w:tc>
        <w:tc>
          <w:tcPr>
            <w:tcW w:type="dxa" w:w="2100"/>
            <w:shd w:fill="1F3864" w:val="clear"/>
            <w:tcMar>
              <w:top w:type="dxa" w:w="100"/>
              <w:left w:type="dxa" w:w="120"/>
              <w:bottom w:type="dxa" w:w="100"/>
              <w:right w:type="dxa" w:w="120"/>
            </w:tcMar>
          </w:tcPr>
          <w:p>
            <w:r>
              <w:rPr>
                <w:b/>
                <w:bCs/>
                <w:color w:val="FFFFFF"/>
                <w:sz w:val="20"/>
                <w:szCs w:val="20"/>
              </w:rPr>
              <w:t xml:space="preserve">Verdict</w:t>
            </w:r>
          </w:p>
        </w:tc>
      </w:tr>
      <w:tr>
        <w:tc>
          <w:tcPr>
            <w:tcW w:type="dxa" w:w="2600"/>
            <w:tcMar>
              <w:top w:type="dxa" w:w="100"/>
              <w:left w:type="dxa" w:w="120"/>
              <w:bottom w:type="dxa" w:w="100"/>
              <w:right w:type="dxa" w:w="120"/>
            </w:tcMar>
          </w:tcPr>
          <w:p>
            <w:r>
              <w:rPr>
                <w:b w:val="false"/>
                <w:bCs w:val="false"/>
                <w:sz w:val="20"/>
                <w:szCs w:val="20"/>
              </w:rPr>
              <w:t xml:space="preserve">GoDaddy VPS</w:t>
            </w:r>
          </w:p>
        </w:tc>
        <w:tc>
          <w:tcPr>
            <w:tcW w:type="dxa" w:w="1500"/>
            <w:tcMar>
              <w:top w:type="dxa" w:w="100"/>
              <w:left w:type="dxa" w:w="120"/>
              <w:bottom w:type="dxa" w:w="100"/>
              <w:right w:type="dxa" w:w="120"/>
            </w:tcMar>
          </w:tcPr>
          <w:p>
            <w:r>
              <w:rPr>
                <w:b w:val="false"/>
                <w:bCs w:val="false"/>
                <w:sz w:val="20"/>
                <w:szCs w:val="20"/>
              </w:rPr>
              <w:t xml:space="preserve">~$9–$18+ (3-yr term for lowest price)</w:t>
            </w:r>
          </w:p>
        </w:tc>
        <w:tc>
          <w:tcPr>
            <w:tcW w:type="dxa" w:w="2300"/>
            <w:tcMar>
              <w:top w:type="dxa" w:w="100"/>
              <w:left w:type="dxa" w:w="120"/>
              <w:bottom w:type="dxa" w:w="100"/>
              <w:right w:type="dxa" w:w="120"/>
            </w:tcMar>
          </w:tcPr>
          <w:p>
            <w:r>
              <w:rPr>
                <w:b w:val="false"/>
                <w:bCs w:val="false"/>
                <w:color w:val="1B7A3D"/>
                <w:sz w:val="20"/>
                <w:szCs w:val="20"/>
              </w:rPr>
              <w:t xml:space="preserve">Yes (self-managed)</w:t>
            </w:r>
          </w:p>
        </w:tc>
        <w:tc>
          <w:tcPr>
            <w:tcW w:type="dxa" w:w="1500"/>
            <w:tcMar>
              <w:top w:type="dxa" w:w="100"/>
              <w:left w:type="dxa" w:w="120"/>
              <w:bottom w:type="dxa" w:w="100"/>
              <w:right w:type="dxa" w:w="120"/>
            </w:tcMar>
          </w:tcPr>
          <w:p>
            <w:r>
              <w:rPr>
                <w:b w:val="false"/>
                <w:bCs w:val="false"/>
                <w:sz w:val="20"/>
                <w:szCs w:val="20"/>
              </w:rPr>
              <w:t xml:space="preserve">High</w:t>
            </w:r>
          </w:p>
        </w:tc>
        <w:tc>
          <w:tcPr>
            <w:tcW w:type="dxa" w:w="2100"/>
            <w:tcMar>
              <w:top w:type="dxa" w:w="100"/>
              <w:left w:type="dxa" w:w="120"/>
              <w:bottom w:type="dxa" w:w="100"/>
              <w:right w:type="dxa" w:w="120"/>
            </w:tcMar>
          </w:tcPr>
          <w:p>
            <w:r>
              <w:rPr>
                <w:b w:val="false"/>
                <w:bCs w:val="false"/>
                <w:sz w:val="20"/>
                <w:szCs w:val="20"/>
              </w:rPr>
              <w:t xml:space="preserve">Viable but lower value than Hetzner/DigitalOcean</w:t>
            </w:r>
          </w:p>
        </w:tc>
      </w:tr>
      <w:tr>
        <w:tc>
          <w:tcPr>
            <w:tcW w:type="dxa" w:w="2600"/>
            <w:tcMar>
              <w:top w:type="dxa" w:w="100"/>
              <w:left w:type="dxa" w:w="120"/>
              <w:bottom w:type="dxa" w:w="100"/>
              <w:right w:type="dxa" w:w="120"/>
            </w:tcMar>
          </w:tcPr>
          <w:p>
            <w:r>
              <w:rPr>
                <w:b w:val="false"/>
                <w:bCs w:val="false"/>
                <w:sz w:val="20"/>
                <w:szCs w:val="20"/>
              </w:rPr>
              <w:t xml:space="preserve">GoDaddy Node.js Hosting</w:t>
            </w:r>
          </w:p>
        </w:tc>
        <w:tc>
          <w:tcPr>
            <w:tcW w:type="dxa" w:w="1500"/>
            <w:tcMar>
              <w:top w:type="dxa" w:w="100"/>
              <w:left w:type="dxa" w:w="120"/>
              <w:bottom w:type="dxa" w:w="100"/>
              <w:right w:type="dxa" w:w="120"/>
            </w:tcMar>
          </w:tcPr>
          <w:p>
            <w:r>
              <w:rPr>
                <w:b w:val="false"/>
                <w:bCs w:val="false"/>
                <w:sz w:val="20"/>
                <w:szCs w:val="20"/>
              </w:rPr>
              <w:t xml:space="preserve">$9.99–$17.99 (bundled)</w:t>
            </w:r>
          </w:p>
        </w:tc>
        <w:tc>
          <w:tcPr>
            <w:tcW w:type="dxa" w:w="2300"/>
            <w:tcMar>
              <w:top w:type="dxa" w:w="100"/>
              <w:left w:type="dxa" w:w="120"/>
              <w:bottom w:type="dxa" w:w="100"/>
              <w:right w:type="dxa" w:w="120"/>
            </w:tcMar>
          </w:tcPr>
          <w:p>
            <w:r>
              <w:rPr>
                <w:b w:val="false"/>
                <w:bCs w:val="false"/>
                <w:color w:val="B00020"/>
                <w:sz w:val="20"/>
                <w:szCs w:val="20"/>
              </w:rPr>
              <w:t xml:space="preserve">No — MySQL only</w:t>
            </w:r>
          </w:p>
        </w:tc>
        <w:tc>
          <w:tcPr>
            <w:tcW w:type="dxa" w:w="1500"/>
            <w:tcMar>
              <w:top w:type="dxa" w:w="100"/>
              <w:left w:type="dxa" w:w="120"/>
              <w:bottom w:type="dxa" w:w="100"/>
              <w:right w:type="dxa" w:w="120"/>
            </w:tcMar>
          </w:tcPr>
          <w:p>
            <w:r>
              <w:rPr>
                <w:b w:val="false"/>
                <w:bCs w:val="false"/>
                <w:sz w:val="20"/>
                <w:szCs w:val="20"/>
              </w:rPr>
              <w:t xml:space="preserve">Low</w:t>
            </w:r>
          </w:p>
        </w:tc>
        <w:tc>
          <w:tcPr>
            <w:tcW w:type="dxa" w:w="2100"/>
            <w:tcMar>
              <w:top w:type="dxa" w:w="100"/>
              <w:left w:type="dxa" w:w="120"/>
              <w:bottom w:type="dxa" w:w="100"/>
              <w:right w:type="dxa" w:w="120"/>
            </w:tcMar>
          </w:tcPr>
          <w:p>
            <w:r>
              <w:rPr>
                <w:b w:val="false"/>
                <w:bCs w:val="false"/>
                <w:color w:val="B00020"/>
                <w:sz w:val="20"/>
                <w:szCs w:val="20"/>
              </w:rPr>
              <w:t xml:space="preserve">Not usable without a DB/security rewrite</w:t>
            </w:r>
          </w:p>
        </w:tc>
      </w:tr>
      <w:tr>
        <w:tc>
          <w:tcPr>
            <w:tcW w:type="dxa" w:w="2600"/>
            <w:tcMar>
              <w:top w:type="dxa" w:w="100"/>
              <w:left w:type="dxa" w:w="120"/>
              <w:bottom w:type="dxa" w:w="100"/>
              <w:right w:type="dxa" w:w="120"/>
            </w:tcMar>
          </w:tcPr>
          <w:p>
            <w:r>
              <w:rPr>
                <w:b w:val="false"/>
                <w:bCs w:val="false"/>
                <w:sz w:val="20"/>
                <w:szCs w:val="20"/>
              </w:rPr>
              <w:t xml:space="preserve">Oracle Cloud Always Free (self-hosted Postgres)</w:t>
            </w:r>
          </w:p>
        </w:tc>
        <w:tc>
          <w:tcPr>
            <w:tcW w:type="dxa" w:w="1500"/>
            <w:tcMar>
              <w:top w:type="dxa" w:w="100"/>
              <w:left w:type="dxa" w:w="120"/>
              <w:bottom w:type="dxa" w:w="100"/>
              <w:right w:type="dxa" w:w="120"/>
            </w:tcMar>
          </w:tcPr>
          <w:p>
            <w:r>
              <w:rPr>
                <w:b w:val="false"/>
                <w:bCs w:val="false"/>
                <w:color w:val="1B7A3D"/>
                <w:sz w:val="20"/>
                <w:szCs w:val="20"/>
              </w:rPr>
              <w:t xml:space="preserve">$0</w:t>
            </w:r>
          </w:p>
        </w:tc>
        <w:tc>
          <w:tcPr>
            <w:tcW w:type="dxa" w:w="2300"/>
            <w:tcMar>
              <w:top w:type="dxa" w:w="100"/>
              <w:left w:type="dxa" w:w="120"/>
              <w:bottom w:type="dxa" w:w="100"/>
              <w:right w:type="dxa" w:w="120"/>
            </w:tcMar>
          </w:tcPr>
          <w:p>
            <w:r>
              <w:rPr>
                <w:b w:val="false"/>
                <w:bCs w:val="false"/>
                <w:color w:val="1B7A3D"/>
                <w:sz w:val="20"/>
                <w:szCs w:val="20"/>
              </w:rPr>
              <w:t xml:space="preserve">Yes (self-managed)</w:t>
            </w:r>
          </w:p>
        </w:tc>
        <w:tc>
          <w:tcPr>
            <w:tcW w:type="dxa" w:w="1500"/>
            <w:tcMar>
              <w:top w:type="dxa" w:w="100"/>
              <w:left w:type="dxa" w:w="120"/>
              <w:bottom w:type="dxa" w:w="100"/>
              <w:right w:type="dxa" w:w="120"/>
            </w:tcMar>
          </w:tcPr>
          <w:p>
            <w:r>
              <w:rPr>
                <w:b w:val="false"/>
                <w:bCs w:val="false"/>
                <w:sz w:val="20"/>
                <w:szCs w:val="20"/>
              </w:rPr>
              <w:t xml:space="preserve">High</w:t>
            </w:r>
          </w:p>
        </w:tc>
        <w:tc>
          <w:tcPr>
            <w:tcW w:type="dxa" w:w="2100"/>
            <w:tcMar>
              <w:top w:type="dxa" w:w="100"/>
              <w:left w:type="dxa" w:w="120"/>
              <w:bottom w:type="dxa" w:w="100"/>
              <w:right w:type="dxa" w:w="120"/>
            </w:tcMar>
          </w:tcPr>
          <w:p>
            <w:r>
              <w:rPr>
                <w:b w:val="false"/>
                <w:bCs w:val="false"/>
                <w:color w:val="1B7A3D"/>
                <w:sz w:val="20"/>
                <w:szCs w:val="20"/>
              </w:rPr>
              <w:t xml:space="preserve">Strongest near-zero-cost option</w:t>
            </w:r>
          </w:p>
        </w:tc>
      </w:tr>
      <w:tr>
        <w:tc>
          <w:tcPr>
            <w:tcW w:type="dxa" w:w="2600"/>
            <w:tcMar>
              <w:top w:type="dxa" w:w="100"/>
              <w:left w:type="dxa" w:w="120"/>
              <w:bottom w:type="dxa" w:w="100"/>
              <w:right w:type="dxa" w:w="120"/>
            </w:tcMar>
          </w:tcPr>
          <w:p>
            <w:r>
              <w:rPr>
                <w:b w:val="false"/>
                <w:bCs w:val="false"/>
                <w:sz w:val="20"/>
                <w:szCs w:val="20"/>
              </w:rPr>
              <w:t xml:space="preserve">Oracle Autonomous Database</w:t>
            </w:r>
          </w:p>
        </w:tc>
        <w:tc>
          <w:tcPr>
            <w:tcW w:type="dxa" w:w="1500"/>
            <w:tcMar>
              <w:top w:type="dxa" w:w="100"/>
              <w:left w:type="dxa" w:w="120"/>
              <w:bottom w:type="dxa" w:w="100"/>
              <w:right w:type="dxa" w:w="120"/>
            </w:tcMar>
          </w:tcPr>
          <w:p>
            <w:r>
              <w:rPr>
                <w:b w:val="false"/>
                <w:bCs w:val="false"/>
                <w:sz w:val="20"/>
                <w:szCs w:val="20"/>
              </w:rPr>
              <w:t xml:space="preserve">$0</w:t>
            </w:r>
          </w:p>
        </w:tc>
        <w:tc>
          <w:tcPr>
            <w:tcW w:type="dxa" w:w="2300"/>
            <w:tcMar>
              <w:top w:type="dxa" w:w="100"/>
              <w:left w:type="dxa" w:w="120"/>
              <w:bottom w:type="dxa" w:w="100"/>
              <w:right w:type="dxa" w:w="120"/>
            </w:tcMar>
          </w:tcPr>
          <w:p>
            <w:r>
              <w:rPr>
                <w:b w:val="false"/>
                <w:bCs w:val="false"/>
                <w:color w:val="B00020"/>
                <w:sz w:val="20"/>
                <w:szCs w:val="20"/>
              </w:rPr>
              <w:t xml:space="preserve">No — Oracle DB, not Postgres</w:t>
            </w:r>
          </w:p>
        </w:tc>
        <w:tc>
          <w:tcPr>
            <w:tcW w:type="dxa" w:w="1500"/>
            <w:tcMar>
              <w:top w:type="dxa" w:w="100"/>
              <w:left w:type="dxa" w:w="120"/>
              <w:bottom w:type="dxa" w:w="100"/>
              <w:right w:type="dxa" w:w="120"/>
            </w:tcMar>
          </w:tcPr>
          <w:p>
            <w:r>
              <w:rPr>
                <w:b w:val="false"/>
                <w:bCs w:val="false"/>
                <w:sz w:val="20"/>
                <w:szCs w:val="20"/>
              </w:rPr>
              <w:t xml:space="preserve">N/A</w:t>
            </w:r>
          </w:p>
        </w:tc>
        <w:tc>
          <w:tcPr>
            <w:tcW w:type="dxa" w:w="2100"/>
            <w:tcMar>
              <w:top w:type="dxa" w:w="100"/>
              <w:left w:type="dxa" w:w="120"/>
              <w:bottom w:type="dxa" w:w="100"/>
              <w:right w:type="dxa" w:w="120"/>
            </w:tcMar>
          </w:tcPr>
          <w:p>
            <w:r>
              <w:rPr>
                <w:b w:val="false"/>
                <w:bCs w:val="false"/>
                <w:color w:val="B00020"/>
                <w:sz w:val="20"/>
                <w:szCs w:val="20"/>
              </w:rPr>
              <w:t xml:space="preserve">Not usable — no Prisma support</w:t>
            </w:r>
          </w:p>
        </w:tc>
      </w:tr>
    </w:tbl>
    <w:p>
      <w:pPr>
        <w:spacing w:after="300"/>
      </w:pPr>
    </w:p>
    <w:p>
      <w:pPr>
        <w:pStyle w:val="Heading1"/>
        <w:spacing w:after="160" w:before="360"/>
      </w:pPr>
      <w:r>
        <w:t xml:space="preserve">5. Recommendation</w:t>
      </w:r>
    </w:p>
    <w:p>
      <w:pPr>
        <w:spacing w:after="160" w:line="300"/>
      </w:pPr>
      <w:r>
        <w:t xml:space="preserve">Oracle Cloud's Always Free tier — specifically, self-hosting PostgreSQL alongside the application on the free Ampere A1 compute allocation — is the strongest near-zero-cost option evaluated. Unlike either GoDaddy Node.js Hosting or Oracle's own Autonomous Database, it does not force abandoning the project's PostgreSQL/Row-Level Security architecture.</w:t>
      </w:r>
    </w:p>
    <w:p>
      <w:pPr>
        <w:pStyle w:val="ListParagraph"/>
        <w:numPr>
          <w:ilvl w:val="0"/>
          <w:numId w:val="2"/>
        </w:numPr>
        <w:spacing w:after="80" w:line="280"/>
      </w:pPr>
      <w:r>
        <w:rPr>
          <w:b/>
          <w:bCs/>
          <w:color w:val="0B5394"/>
        </w:rPr>
        <w:t xml:space="preserve">GoDaddy:  </w:t>
      </w:r>
      <w:r>
        <w:t xml:space="preserve">Retain for domain registration and DNS only, pointed at whichever compute host is selected.</w:t>
      </w:r>
    </w:p>
    <w:p>
      <w:pPr>
        <w:pStyle w:val="ListParagraph"/>
        <w:numPr>
          <w:ilvl w:val="0"/>
          <w:numId w:val="2"/>
        </w:numPr>
        <w:spacing w:after="80" w:line="280"/>
      </w:pPr>
      <w:r>
        <w:rPr>
          <w:b/>
          <w:bCs/>
          <w:color w:val="0B5394"/>
        </w:rPr>
        <w:t xml:space="preserve">GoDaddy VPS:  </w:t>
      </w:r>
      <w:r>
        <w:t xml:space="preserve">A viable but strictly lower-value version of the same self-hosted approach available more cheaply and with better tooling elsewhere (e.g. Hetzner, DigitalOcean).</w:t>
      </w:r>
    </w:p>
    <w:p>
      <w:pPr>
        <w:pStyle w:val="ListParagraph"/>
        <w:numPr>
          <w:ilvl w:val="0"/>
          <w:numId w:val="2"/>
        </w:numPr>
        <w:spacing w:after="80" w:line="280"/>
      </w:pPr>
      <w:r>
        <w:rPr>
          <w:b/>
          <w:bCs/>
          <w:color w:val="B00020"/>
        </w:rPr>
        <w:t xml:space="preserve">GoDaddy Node.js Hosting:  </w:t>
      </w:r>
      <w:r>
        <w:t xml:space="preserve">Not usable for this project's current database architecture; would require abandoning PostgreSQL and RLS.</w:t>
      </w:r>
    </w:p>
    <w:p>
      <w:pPr>
        <w:pStyle w:val="ListParagraph"/>
        <w:numPr>
          <w:ilvl w:val="0"/>
          <w:numId w:val="2"/>
        </w:numPr>
        <w:spacing w:after="80" w:line="280"/>
      </w:pPr>
      <w:r>
        <w:rPr>
          <w:b/>
          <w:bCs/>
          <w:color w:val="1B7A3D"/>
        </w:rPr>
        <w:t xml:space="preserve">Oracle Cloud Always Free:  </w:t>
      </w:r>
      <w:r>
        <w:t xml:space="preserve">Recommended if minimizing cost to $0 is the priority and the team is prepared to take on full server administration (patching, backups, TLS, security monitoring) in-house.</w:t>
      </w:r>
    </w:p>
    <w:p>
      <w:pPr>
        <w:spacing w:after="200" w:before="120" w:line="300"/>
      </w:pPr>
      <w:r>
        <w:rPr>
          <w:b/>
          <w:bCs/>
        </w:rPr>
        <w:t xml:space="preserve">Note: </w:t>
      </w:r>
      <w:r>
        <w:rPr>
          <w:i/>
          <w:iCs/>
        </w:rPr>
        <w:t xml:space="preserve">This document focuses on GoDaddy and Oracle Cloud specifically, per the request that produced it. For context, prior evaluation in this project identified Railway (approximately $5–$15/month, fully managed) as the recommended option if low operational effort is valued more highly than reaching a literal $0 hosting cost.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80"/>
    </w:pPr>
    <w:rPr>
      <w:rFonts w:ascii="Calibri" w:cs="Calibri" w:eastAsia="Calibri" w:hAnsi="Calibri"/>
      <w:b/>
      <w:bCs/>
      <w:color w:val="2E5395"/>
      <w:sz w:val="25"/>
      <w:szCs w:val="25"/>
    </w:rPr>
  </w:style>
  <w:style w:type="paragraph" w:styleId="Heading3">
    <w:name w:val="Heading 3"/>
    <w:basedOn w:val="Normal"/>
    <w:next w:val="Normal"/>
    <w:qFormat/>
    <w:pPr>
      <w:spacing w:after="100" w:before="200"/>
    </w:pPr>
    <w:rPr>
      <w:rFonts w:ascii="Calibri" w:cs="Calibri" w:eastAsia="Calibri" w:hAnsi="Calibri"/>
      <w:b/>
      <w:bCs/>
      <w:color w:val="0B539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2026-09-24T08:20:07.754Z</dcterms:created>
  <dcterms:modified xsi:type="dcterms:W3CDTF">2026-09-24T08:20:07.755Z</dcterms:modified>
</cp:coreProperties>
</file>

<file path=docProps/custom.xml><?xml version="1.0" encoding="utf-8"?>
<Properties xmlns="http://schemas.openxmlformats.org/officeDocument/2006/custom-properties" xmlns:vt="http://schemas.openxmlformats.org/officeDocument/2006/docPropsVTypes"/>
</file>