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Times New Roman" w:hAnsi="Times New Roman"/>
          <w:b/>
          <w:i w:val="0"/>
          <w:color w:val="1F4E79"/>
          <w:sz w:val="32"/>
        </w:rPr>
        <w:t>An IKS-Grounded Multimodal Agricultural Advisory System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Complete research write-up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Ankit Pawar</w:t>
      </w:r>
      <w:r>
        <w:rPr>
          <w:rFonts w:ascii="Times New Roman" w:hAnsi="Times New Roman"/>
          <w:b w:val="0"/>
          <w:i w:val="0"/>
          <w:sz w:val="21"/>
        </w:rPr>
        <w:t xml:space="preserve"> — M.Tech (Computer Science &amp; Engineering), PDPM IIITDM Jabalpur </w:t>
      </w:r>
      <w:r>
        <w:rPr>
          <w:rFonts w:ascii="Times New Roman" w:hAnsi="Times New Roman"/>
          <w:b/>
          <w:i w:val="0"/>
          <w:sz w:val="21"/>
        </w:rPr>
        <w:t>Supervisor:</w:t>
      </w:r>
      <w:r>
        <w:rPr>
          <w:rFonts w:ascii="Times New Roman" w:hAnsi="Times New Roman"/>
          <w:b w:val="0"/>
          <w:i w:val="0"/>
          <w:sz w:val="21"/>
        </w:rPr>
        <w:t xml:space="preserve"> Dr. Akshay Pandey, Department of CSE, PDPM IIITDM Jabalpur </w:t>
      </w:r>
      <w:r>
        <w:rPr>
          <w:rFonts w:ascii="Times New Roman" w:hAnsi="Times New Roman"/>
          <w:b/>
          <w:i w:val="0"/>
          <w:sz w:val="21"/>
        </w:rPr>
        <w:t>Agronomy consultation:</w:t>
      </w:r>
      <w:r>
        <w:rPr>
          <w:rFonts w:ascii="Times New Roman" w:hAnsi="Times New Roman"/>
          <w:b w:val="0"/>
          <w:i w:val="0"/>
          <w:sz w:val="21"/>
        </w:rPr>
        <w:t xml:space="preserve"> Dr. Sunita T. Pandey </w:t>
      </w:r>
      <w:r>
        <w:rPr>
          <w:rFonts w:ascii="Times New Roman" w:hAnsi="Times New Roman"/>
          <w:b/>
          <w:i w:val="0"/>
          <w:sz w:val="21"/>
        </w:rPr>
        <w:t>Date:</w:t>
      </w:r>
      <w:r>
        <w:rPr>
          <w:rFonts w:ascii="Times New Roman" w:hAnsi="Times New Roman"/>
          <w:b w:val="0"/>
          <w:i w:val="0"/>
          <w:sz w:val="21"/>
        </w:rPr>
        <w:t xml:space="preserve"> 20 September 2026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Abstract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India's classical agricultural treatises — Vrikshayurveda, Brihat Samhita, Krishi Parashara, Upavanavinoda, Kashyapiya Krishisukti — record a substantial body of organic plant-care knowledge that is effectively unusable today: it exists only as scanned translations, it is organised by observed symptom and Ayurvedic cause rather than by modern disease name, and no computational system draws on it.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This work builds and evaluates an end-to-end system that connects image-based plant-disease and soil recognition to that textual knowledge, and that cites or abstains rather than inventing an answer. Three components are contributed: (i) a verse-level digital corpus of the treatises with provenance metadata; (ii) a </w:t>
      </w:r>
      <w:r>
        <w:rPr>
          <w:rFonts w:ascii="Times New Roman" w:hAnsi="Times New Roman"/>
          <w:b/>
          <w:i w:val="0"/>
          <w:sz w:val="21"/>
        </w:rPr>
        <w:t>symptom-based semantic bridge</w:t>
      </w:r>
      <w:r>
        <w:rPr>
          <w:rFonts w:ascii="Times New Roman" w:hAnsi="Times New Roman"/>
          <w:b w:val="0"/>
          <w:i w:val="0"/>
          <w:sz w:val="21"/>
        </w:rPr>
        <w:t xml:space="preserve"> that rewrites modern diagnostic labels into the descriptive vocabulary the texts actually use, raising retrieval scores from 0.01–0.04 to 0.59–0.96; and (iii) a grounded generator that answers only from retrieved passages, cites them at verse level, and refuses when evidence is insufficient — producing </w:t>
      </w:r>
      <w:r>
        <w:rPr>
          <w:rFonts w:ascii="Times New Roman" w:hAnsi="Times New Roman"/>
          <w:b/>
          <w:i w:val="0"/>
          <w:sz w:val="21"/>
        </w:rPr>
        <w:t>zero fabricated citations in every evaluation run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central empirical result is not an accuracy figure. Across three corpus versions (206, 327 and 233 passages) the grounded-answer rate remained frozen at exactly 13.64% (3 of 22 queries) while over-refusal rose from 54.5% to 81.8%. Investigation established that this is </w:t>
      </w:r>
      <w:r>
        <w:rPr>
          <w:rFonts w:ascii="Times New Roman" w:hAnsi="Times New Roman"/>
          <w:b/>
          <w:i w:val="0"/>
          <w:sz w:val="21"/>
        </w:rPr>
        <w:t>not</w:t>
      </w:r>
      <w:r>
        <w:rPr>
          <w:rFonts w:ascii="Times New Roman" w:hAnsi="Times New Roman"/>
          <w:b w:val="0"/>
          <w:i w:val="0"/>
          <w:sz w:val="21"/>
        </w:rPr>
        <w:t xml:space="preserve"> a retrieval failure: measured with the pipeline's own cross-encoder, only 4 of the 22 evaluation queries have a genuine match in the corpus, and 13 have none at all. The classical texts classify plant disorder by Ayurvedic cause — </w:t>
      </w:r>
      <w:r>
        <w:rPr>
          <w:rFonts w:ascii="Times New Roman" w:hAnsi="Times New Roman"/>
          <w:b w:val="0"/>
          <w:i/>
          <w:sz w:val="21"/>
        </w:rPr>
        <w:t>vata</w:t>
      </w:r>
      <w:r>
        <w:rPr>
          <w:rFonts w:ascii="Times New Roman" w:hAnsi="Times New Roman"/>
          <w:b w:val="0"/>
          <w:i w:val="0"/>
          <w:sz w:val="21"/>
        </w:rPr>
        <w:t xml:space="preserve">, </w:t>
      </w:r>
      <w:r>
        <w:rPr>
          <w:rFonts w:ascii="Times New Roman" w:hAnsi="Times New Roman"/>
          <w:b w:val="0"/>
          <w:i/>
          <w:sz w:val="21"/>
        </w:rPr>
        <w:t>pitta</w:t>
      </w:r>
      <w:r>
        <w:rPr>
          <w:rFonts w:ascii="Times New Roman" w:hAnsi="Times New Roman"/>
          <w:b w:val="0"/>
          <w:i w:val="0"/>
          <w:sz w:val="21"/>
        </w:rPr>
        <w:t xml:space="preserve">, </w:t>
      </w:r>
      <w:r>
        <w:rPr>
          <w:rFonts w:ascii="Times New Roman" w:hAnsi="Times New Roman"/>
          <w:b w:val="0"/>
          <w:i/>
          <w:sz w:val="21"/>
        </w:rPr>
        <w:t>kapha</w:t>
      </w:r>
      <w:r>
        <w:rPr>
          <w:rFonts w:ascii="Times New Roman" w:hAnsi="Times New Roman"/>
          <w:b w:val="0"/>
          <w:i w:val="0"/>
          <w:sz w:val="21"/>
        </w:rPr>
        <w:t xml:space="preserve">, fire, wound, insect attack — whereas modern diagnosis classifies by lesion appearance. For most modern fungal leaf diseases </w:t>
      </w:r>
      <w:r>
        <w:rPr>
          <w:rFonts w:ascii="Times New Roman" w:hAnsi="Times New Roman"/>
          <w:b/>
          <w:i w:val="0"/>
          <w:sz w:val="21"/>
        </w:rPr>
        <w:t>no mapping exists</w:t>
      </w:r>
      <w:r>
        <w:rPr>
          <w:rFonts w:ascii="Times New Roman" w:hAnsi="Times New Roman"/>
          <w:b w:val="0"/>
          <w:i w:val="0"/>
          <w:sz w:val="21"/>
        </w:rPr>
        <w:t>, and the system's refusal is correct behaviour. Quantifying that boundary is offered as a contribution in its own right.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A parallel interpretability study on the vision side localised a background-shortcut bias in the disease classifier to a specific training stage, and corrected it by retraining on leaf crops — trading 72.3% background-driven accuracy for 66.6% with verified leaf attention.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Keywords:</w:t>
      </w:r>
      <w:r>
        <w:rPr>
          <w:rFonts w:ascii="Times New Roman" w:hAnsi="Times New Roman"/>
          <w:b w:val="0"/>
          <w:i w:val="0"/>
          <w:sz w:val="21"/>
        </w:rPr>
        <w:t xml:space="preserve"> Indian Knowledge Systems, Vrikshayurveda, retrieval-augmented generation, faithfulness, abstention, multimodal agriculture, explainable AI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1. Introduction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1.1 The problem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A farmer photographs a diseased leaf. Modern AI can name the disease with reasonable accuracy. It cannot tell the farmer what the Indian agricultural tradition would have prescribed for it — because that knowledge is locked in Sanskrit treatises available only as scanned English translations, with no searchable structure.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Three barriers stand between those texts and use: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No digital form.</w:t>
      </w:r>
      <w:r>
        <w:rPr>
          <w:rFonts w:ascii="Times New Roman" w:hAnsi="Times New Roman"/>
          <w:b w:val="0"/>
          <w:i w:val="0"/>
          <w:sz w:val="21"/>
        </w:rPr>
        <w:t xml:space="preserve"> The treatises exist as scanned PDFs of scholarly translations. There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is no verse-level, machine-readable corpus.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A vocabulary mismatch.</w:t>
      </w:r>
      <w:r>
        <w:rPr>
          <w:rFonts w:ascii="Times New Roman" w:hAnsi="Times New Roman"/>
          <w:b w:val="0"/>
          <w:i w:val="0"/>
          <w:sz w:val="21"/>
        </w:rPr>
        <w:t xml:space="preserve"> The texts describe *"leaves turning yellow with excessive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paleness"</w:t>
      </w:r>
      <w:r>
        <w:rPr>
          <w:rFonts w:ascii="Times New Roman" w:hAnsi="Times New Roman"/>
          <w:b w:val="0"/>
          <w:i/>
          <w:sz w:val="21"/>
        </w:rPr>
        <w:t xml:space="preserve">; modern diagnosis says </w:t>
      </w:r>
      <w:r>
        <w:rPr>
          <w:rFonts w:ascii="Times New Roman" w:hAnsi="Times New Roman"/>
          <w:b w:val="0"/>
          <w:i w:val="0"/>
          <w:sz w:val="21"/>
        </w:rPr>
        <w:t>"Septoria leaf spot"*. Neither term retrieves the other.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Fabrication risk.</w:t>
      </w:r>
      <w:r>
        <w:rPr>
          <w:rFonts w:ascii="Times New Roman" w:hAnsi="Times New Roman"/>
          <w:b w:val="0"/>
          <w:i w:val="0"/>
          <w:sz w:val="21"/>
        </w:rPr>
        <w:t xml:space="preserve"> A general-purpose language model asked about Vrikshayurveda will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produce fluent, confident, and frequently invented remedies, attributed to verses that do not exist. For heritage knowledge this is not merely an error — it is a distortion of the tradition, and the user has no practical means of checking it.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1.2 Objectives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>Construct a verse-level, metadata-annotated digital corpus of the classical treatises.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>Connect image-based disease and soil recognition to that corpus.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>Ensure every recommendation is either traceable to a cited passage, or refused.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>Measure — rather than assume — how much of modern crop disease the texts can address.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1.3 Contributions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C1.</w:t>
      </w:r>
      <w:r>
        <w:rPr>
          <w:rFonts w:ascii="Times New Roman" w:hAnsi="Times New Roman"/>
          <w:b w:val="0"/>
          <w:i w:val="0"/>
          <w:sz w:val="21"/>
        </w:rPr>
        <w:t xml:space="preserve"> A verse-level digital corpus of six sources (five classical treatises plus one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modern natural-farming manual), 233 passages with book, chapter, verse, translator and source-tier metadata.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C2.</w:t>
      </w:r>
      <w:r>
        <w:rPr>
          <w:rFonts w:ascii="Times New Roman" w:hAnsi="Times New Roman"/>
          <w:b w:val="0"/>
          <w:i w:val="0"/>
          <w:sz w:val="21"/>
        </w:rPr>
        <w:t xml:space="preserve"> A </w:t>
      </w:r>
      <w:r>
        <w:rPr>
          <w:rFonts w:ascii="Times New Roman" w:hAnsi="Times New Roman"/>
          <w:b/>
          <w:i w:val="0"/>
          <w:sz w:val="21"/>
        </w:rPr>
        <w:t>symptom-based semantic bridge</w:t>
      </w:r>
      <w:r>
        <w:rPr>
          <w:rFonts w:ascii="Times New Roman" w:hAnsi="Times New Roman"/>
          <w:b w:val="0"/>
          <w:i w:val="0"/>
          <w:sz w:val="21"/>
        </w:rPr>
        <w:t xml:space="preserve"> (Strategy B) that rewrites modern vision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labels into classical descriptive vocabulary. Proven by ablation: retrieval score 0.59–0.96 versus 0.01–0.04 for direct label matching.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C3.</w:t>
      </w:r>
      <w:r>
        <w:rPr>
          <w:rFonts w:ascii="Times New Roman" w:hAnsi="Times New Roman"/>
          <w:b w:val="0"/>
          <w:i w:val="0"/>
          <w:sz w:val="21"/>
        </w:rPr>
        <w:t xml:space="preserve"> A grounded generator with verse-level citation and enforced abstention: 100%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honest refusal on negative controls, 0% unfounded citations across all runs.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C4.</w:t>
      </w:r>
      <w:r>
        <w:rPr>
          <w:rFonts w:ascii="Times New Roman" w:hAnsi="Times New Roman"/>
          <w:b w:val="0"/>
          <w:i w:val="0"/>
          <w:sz w:val="21"/>
        </w:rPr>
        <w:t xml:space="preserve"> A rigorous interpretability diagnosis of the disease classifier that localises 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background-shortcut bias to a specific cascade stage, three documented failed fixes, and a working correction (C-PD) that trades accuracy for verified leaf attention.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C5.</w:t>
      </w:r>
      <w:r>
        <w:rPr>
          <w:rFonts w:ascii="Times New Roman" w:hAnsi="Times New Roman"/>
          <w:b w:val="0"/>
          <w:i w:val="0"/>
          <w:sz w:val="21"/>
        </w:rPr>
        <w:t xml:space="preserve"> **A measured coverage boundary between classical IKS aetiology and modern disease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taxonomy** — 4 of 22 modern leaf-disease queries have genuine textual support, 13 have none — together with the finding that a faithful system's correct response to the remainder is refusal.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2. Background: why these texts resist retrieval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Vrikshayurveda (Surapala, c. 10th century) is the principal source. Its organisation is the crux of this project's central finding.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text classifies plant disorder by </w:t>
      </w:r>
      <w:r>
        <w:rPr>
          <w:rFonts w:ascii="Times New Roman" w:hAnsi="Times New Roman"/>
          <w:b/>
          <w:i w:val="0"/>
          <w:sz w:val="21"/>
        </w:rPr>
        <w:t>cause</w:t>
      </w:r>
      <w:r>
        <w:rPr>
          <w:rFonts w:ascii="Times New Roman" w:hAnsi="Times New Roman"/>
          <w:b w:val="0"/>
          <w:i w:val="0"/>
          <w:sz w:val="21"/>
        </w:rPr>
        <w:t>, in the same humoral framework Ayurveda applies to human medicine: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Classical cause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What it covers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Prescribed treatment (examples)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Vata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imbalance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slender crooked trunk, defoliation, general yellowing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flesh, marrow and ghee; sprinkling of </w:t>
            </w:r>
            <w:r>
              <w:rPr>
                <w:rFonts w:ascii="Times New Roman" w:hAnsi="Times New Roman"/>
                <w:b w:val="0"/>
                <w:i/>
                <w:sz w:val="18"/>
              </w:rPr>
              <w:t>kunapa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water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/>
                <w:sz w:val="18"/>
              </w:rPr>
              <w:t>Kapha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imbalance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delayed fruiting, oozing without wounds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white mustard paste at the root; sesame-and-ash watering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Fire / lightning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drying, scorching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lotus mud smeared on the trunk, then </w:t>
            </w:r>
            <w:r>
              <w:rPr>
                <w:rFonts w:ascii="Times New Roman" w:hAnsi="Times New Roman"/>
                <w:b w:val="0"/>
                <w:i/>
                <w:sz w:val="18"/>
              </w:rPr>
              <w:t>kunapa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Physical wound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dryness after axe damage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paste of </w:t>
            </w:r>
            <w:r>
              <w:rPr>
                <w:rFonts w:ascii="Times New Roman" w:hAnsi="Times New Roman"/>
                <w:b w:val="0"/>
                <w:i/>
                <w:sz w:val="18"/>
              </w:rPr>
              <w:t>nyagrodha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and </w:t>
            </w:r>
            <w:r>
              <w:rPr>
                <w:rFonts w:ascii="Times New Roman" w:hAnsi="Times New Roman"/>
                <w:b w:val="0"/>
                <w:i/>
                <w:sz w:val="18"/>
              </w:rPr>
              <w:t>udumbara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bark, cow dung, honey, ghee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Insects / ants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foul smell, reduced leaf size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seed treatment with milk, mustard, </w:t>
            </w:r>
            <w:r>
              <w:rPr>
                <w:rFonts w:ascii="Times New Roman" w:hAnsi="Times New Roman"/>
                <w:b w:val="0"/>
                <w:i/>
                <w:sz w:val="18"/>
              </w:rPr>
              <w:t>vidanga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A modern diagnostic label — "Tomato Septoria leaf spot" — does not appear anywhere in this scheme, and cannot: the category did not exist. </w:t>
      </w:r>
      <w:r>
        <w:rPr>
          <w:rFonts w:ascii="Times New Roman" w:hAnsi="Times New Roman"/>
          <w:b/>
          <w:i w:val="0"/>
          <w:sz w:val="21"/>
        </w:rPr>
        <w:t>The two traditions partition the same physical reality along different axes.</w:t>
      </w:r>
      <w:r>
        <w:rPr>
          <w:rFonts w:ascii="Times New Roman" w:hAnsi="Times New Roman"/>
          <w:b w:val="0"/>
          <w:i w:val="0"/>
          <w:sz w:val="21"/>
        </w:rPr>
        <w:t xml:space="preserve"> Section 13 quantifies the consequence.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A second property, confirmed with our agronomy expert Dr. Sunita T. Pandey and by independent literature review, is that the treatises are </w:t>
      </w:r>
      <w:r>
        <w:rPr>
          <w:rFonts w:ascii="Times New Roman" w:hAnsi="Times New Roman"/>
          <w:b/>
          <w:i w:val="0"/>
          <w:sz w:val="21"/>
        </w:rPr>
        <w:t>predominantly symptom-general rather than crop-specific</w:t>
      </w:r>
      <w:r>
        <w:rPr>
          <w:rFonts w:ascii="Times New Roman" w:hAnsi="Times New Roman"/>
          <w:b w:val="0"/>
          <w:i w:val="0"/>
          <w:sz w:val="21"/>
        </w:rPr>
        <w:t xml:space="preserve">: a remedy given for a symptom applies to any plant showing it. A peer-reviewed Vrikshayurveda expert system (Rananavare &amp; Chitnis, </w:t>
      </w:r>
      <w:r>
        <w:rPr>
          <w:rFonts w:ascii="Times New Roman" w:hAnsi="Times New Roman"/>
          <w:b w:val="0"/>
          <w:i/>
          <w:sz w:val="21"/>
        </w:rPr>
        <w:t>J. Ayurveda Integr. Med.</w:t>
      </w:r>
      <w:r>
        <w:rPr>
          <w:rFonts w:ascii="Times New Roman" w:hAnsi="Times New Roman"/>
          <w:b w:val="0"/>
          <w:i w:val="0"/>
          <w:sz w:val="21"/>
        </w:rPr>
        <w:t>, 2024) diagnoses purely from symptom questions and never asks which crop. A minority of crop-named recipes does exist (mango, pomegranate, coconut), so the claim is "predominantly", never absolute. This property drove a significant mid-project realignment (Section 8.2).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3. Related work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Plant disease recognition.</w:t>
      </w:r>
      <w:r>
        <w:rPr>
          <w:rFonts w:ascii="Times New Roman" w:hAnsi="Times New Roman"/>
          <w:b w:val="0"/>
          <w:i w:val="0"/>
          <w:sz w:val="21"/>
        </w:rPr>
        <w:t xml:space="preserve"> PlantVillage (lab images) is effectively solved at &gt;99%. PlantDoc (in-the-wild) is the realistic benchmark; published accuracy sits at roughly 70–78%. Reported accuracy on such datasets is known to be inflated by background correlation, which motivates the interpretability work in Section 6.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Retrieval-augmented generation.</w:t>
      </w:r>
      <w:r>
        <w:rPr>
          <w:rFonts w:ascii="Times New Roman" w:hAnsi="Times New Roman"/>
          <w:b w:val="0"/>
          <w:i w:val="0"/>
          <w:sz w:val="21"/>
        </w:rPr>
        <w:t xml:space="preserve"> Standard RAG couples dense retrieval with a generator conditioned on retrieved text. Applications to classical or low-resource corpora are rare, and evaluation of </w:t>
      </w:r>
      <w:r>
        <w:rPr>
          <w:rFonts w:ascii="Times New Roman" w:hAnsi="Times New Roman"/>
          <w:b w:val="0"/>
          <w:i/>
          <w:sz w:val="21"/>
        </w:rPr>
        <w:t>abstention</w:t>
      </w:r>
      <w:r>
        <w:rPr>
          <w:rFonts w:ascii="Times New Roman" w:hAnsi="Times New Roman"/>
          <w:b w:val="0"/>
          <w:i w:val="0"/>
          <w:sz w:val="21"/>
        </w:rPr>
        <w:t xml:space="preserve"> — whether a system correctly declines — is rarer still. Most RAG benchmarks assume every query is answerable, an assumption this work shows to be consequential (Section 13).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AI and Indian Knowledge Systems.</w:t>
      </w:r>
      <w:r>
        <w:rPr>
          <w:rFonts w:ascii="Times New Roman" w:hAnsi="Times New Roman"/>
          <w:b w:val="0"/>
          <w:i w:val="0"/>
          <w:sz w:val="21"/>
        </w:rPr>
        <w:t xml:space="preserve"> Recent work treats Indian epistemological frameworks as computational objects. This project differs in domain (agriculture rather than logic) and in emphasis: it measures the </w:t>
      </w:r>
      <w:r>
        <w:rPr>
          <w:rFonts w:ascii="Times New Roman" w:hAnsi="Times New Roman"/>
          <w:b w:val="0"/>
          <w:i/>
          <w:sz w:val="21"/>
        </w:rPr>
        <w:t>boundary</w:t>
      </w:r>
      <w:r>
        <w:rPr>
          <w:rFonts w:ascii="Times New Roman" w:hAnsi="Times New Roman"/>
          <w:b w:val="0"/>
          <w:i w:val="0"/>
          <w:sz w:val="21"/>
        </w:rPr>
        <w:t xml:space="preserve"> of what the tradition can answer rather than assuming coverage.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4. System architecture</w:t>
      </w:r>
    </w:p>
    <w:p>
      <w:pPr>
        <w:spacing w:after="0"/>
      </w:pPr>
      <w:r>
        <w:rPr>
          <w:rFonts w:ascii="Consolas" w:hAnsi="Consolas"/>
          <w:sz w:val="15"/>
        </w:rPr>
        <w:t xml:space="preserve">        leaf photo                    soil photo              farmer-declared crop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│                             │     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┌────────▼────────┐          ┌─────────▼────────┐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│ disease model   │          │ soil model       │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│ EfficientNet-B4 │          │ EfficientNet-B0  │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│ YOLO leaf crop  │          │ 3 heads:         │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│ → disease label │          │ type/moisture/   │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│ + Grad-CAM      │          │ texture          │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└────────┬────────┘          └─────────┬────────┘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└──────────────┬──────────────┴──────────────────────────┘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┌───────────▼────────────┐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│  INTEGRATION LAYER     │   ← the contribution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│  Strategy B: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│  "Apple Scab Leaf"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│        ↓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│  "dark rough scabby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│   patches spreading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│   over the leaf"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└───────────┬────────────┘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┌─────────────────▼──────────────────┐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HYBRID RETRIEVAL over IKS corpus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dense bge-large top-20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+ BM25 top-20  → RRF (k=60)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→ bge-reranker cross-encoder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→ top-5 passages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└─────────────────┬──────────────────┘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┌─────────────────▼──────────────────┐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GROUNDED GENERATOR (Llama-3.1-8B)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• answer ONLY from passages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• cite [Source, ch.X, v.Y]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│  • REFUSE if insufficient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└─────────────────┬──────────────────┘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           │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     cited advice + heatmap + source passages</w:t>
      </w:r>
    </w:p>
    <w:p>
      <w:pPr>
        <w:spacing w:after="80"/>
      </w:pP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Infrastructure decisions: all datasets and checkpoints on HuggingFace Hub (Colab sessions expire; per-epoch checkpoint push/resume survives this). Embedder and reranker on CPU, vision models and Llama on GPU — this specific split avoids the T4 out-of-memory failure encountered in Phase 8.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5. The IKS corpus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5.1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Source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Type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Passages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Role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Vrikshayurveda (Surapala)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classical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primary — disorders, causes, remedies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Brihat Samhita (Varahamihira)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classical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rainfall prediction, crop growth, tree treatment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Kashyapiya Krishisukti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classical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cultivation, soil, water, sowing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Upavanavinoda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classical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arbori-horticulture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Krishi Parashara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classical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seasonal agronomy, rain signs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NITI Aayog natural-farming manual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modern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insect-pest recipes (Neemastra etc.)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Total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233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5.2 Pipeline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PDF → OCR (Gemini Flash, page-level, cached) → cleaning (running headers, folios, figure captions, footnote URLs stripped) → chapter location by English heading scan → verse-level chunking → metadata attachment → embedding → ChromaDB.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Chapter location required care: the Brihat Samhita PDF has a page-offset that </w:t>
      </w:r>
      <w:r>
        <w:rPr>
          <w:rFonts w:ascii="Times New Roman" w:hAnsi="Times New Roman"/>
          <w:b w:val="0"/>
          <w:i/>
          <w:sz w:val="21"/>
        </w:rPr>
        <w:t>drifts</w:t>
      </w:r>
      <w:r>
        <w:rPr>
          <w:rFonts w:ascii="Times New Roman" w:hAnsi="Times New Roman"/>
          <w:b w:val="0"/>
          <w:i w:val="0"/>
          <w:sz w:val="21"/>
        </w:rPr>
        <w:t xml:space="preserve"> from ~8 pages at the front to ~45 at the back, so any page-index scheme is unsafe. Chapters are located by scanning OCR text for English headings and Roman numerals instead.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5.3 Two corpus defects found and corrected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Both are reported because both materially affected earlier results.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(a) OCR truncation.</w:t>
      </w:r>
      <w:r>
        <w:rPr>
          <w:rFonts w:ascii="Times New Roman" w:hAnsi="Times New Roman"/>
          <w:b w:val="0"/>
          <w:i w:val="0"/>
          <w:sz w:val="21"/>
        </w:rPr>
        <w:t xml:space="preserve"> An output-token cap silently truncated dense pages — a page of twenty verses would yield two. Detected by manual spot-check against the printed PDF, not by any automated test. Fixed by removing the cap, adding an explicit completeness instruction, and adding a </w:t>
      </w:r>
      <w:r>
        <w:rPr>
          <w:rFonts w:ascii="Consolas" w:hAnsi="Consolas"/>
          <w:b w:val="0"/>
          <w:i w:val="0"/>
          <w:sz w:val="19"/>
        </w:rPr>
        <w:t>finish_reason</w:t>
      </w:r>
      <w:r>
        <w:rPr>
          <w:rFonts w:ascii="Times New Roman" w:hAnsi="Times New Roman"/>
          <w:b w:val="0"/>
          <w:i w:val="0"/>
          <w:sz w:val="21"/>
        </w:rPr>
        <w:t xml:space="preserve"> truncation detector. Both affected books were re-OCR'd and verified.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(b) Chapter over-capture.</w:t>
      </w:r>
      <w:r>
        <w:rPr>
          <w:rFonts w:ascii="Times New Roman" w:hAnsi="Times New Roman"/>
          <w:b w:val="0"/>
          <w:i w:val="0"/>
          <w:sz w:val="21"/>
        </w:rPr>
        <w:t xml:space="preserve"> The chapter-location routine ended each </w:t>
      </w:r>
      <w:r>
        <w:rPr>
          <w:rFonts w:ascii="Times New Roman" w:hAnsi="Times New Roman"/>
          <w:b w:val="0"/>
          <w:i/>
          <w:sz w:val="21"/>
        </w:rPr>
        <w:t>wanted</w:t>
      </w:r>
      <w:r>
        <w:rPr>
          <w:rFonts w:ascii="Times New Roman" w:hAnsi="Times New Roman"/>
          <w:b w:val="0"/>
          <w:i w:val="0"/>
          <w:sz w:val="21"/>
        </w:rPr>
        <w:t xml:space="preserve"> chapter at the next </w:t>
      </w:r>
      <w:r>
        <w:rPr>
          <w:rFonts w:ascii="Times New Roman" w:hAnsi="Times New Roman"/>
          <w:b w:val="0"/>
          <w:i/>
          <w:sz w:val="21"/>
        </w:rPr>
        <w:t>wanted</w:t>
      </w:r>
      <w:r>
        <w:rPr>
          <w:rFonts w:ascii="Times New Roman" w:hAnsi="Times New Roman"/>
          <w:b w:val="0"/>
          <w:i w:val="0"/>
          <w:sz w:val="21"/>
        </w:rPr>
        <w:t xml:space="preserve"> chapter, silently swallowing every chapter in between. Brihat Samhita chapter XL ("Growth of Crops", 4 printed pages) had absorbed chapters XLI–LIII — commodity price divination, "Signs of Swords", architecture, mythology — 167 pages in place of 4. The corpus contained roughly 25% material never requested.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Fixed by ending a chapter at the </w:t>
      </w:r>
      <w:r>
        <w:rPr>
          <w:rFonts w:ascii="Times New Roman" w:hAnsi="Times New Roman"/>
          <w:b w:val="0"/>
          <w:i/>
          <w:sz w:val="21"/>
        </w:rPr>
        <w:t>next detected heading of any kind</w:t>
      </w:r>
      <w:r>
        <w:rPr>
          <w:rFonts w:ascii="Times New Roman" w:hAnsi="Times New Roman"/>
          <w:b w:val="0"/>
          <w:i w:val="0"/>
          <w:sz w:val="21"/>
        </w:rPr>
        <w:t xml:space="preserve">. Detection required three guards, each earned from a real false positive: require the literal word "chapter" (running headers are </w:t>
      </w:r>
      <w:r>
        <w:rPr>
          <w:rFonts w:ascii="Consolas" w:hAnsi="Consolas"/>
          <w:b w:val="0"/>
          <w:i w:val="0"/>
          <w:sz w:val="19"/>
        </w:rPr>
        <w:t>Treatment of Trees LV 533</w:t>
      </w:r>
      <w:r>
        <w:rPr>
          <w:rFonts w:ascii="Times New Roman" w:hAnsi="Times New Roman"/>
          <w:b w:val="0"/>
          <w:i w:val="0"/>
          <w:sz w:val="21"/>
        </w:rPr>
        <w:t xml:space="preserve">); require a separator and capitalised title after the numeral (otherwise cross-references such as </w:t>
      </w:r>
      <w:r>
        <w:rPr>
          <w:rFonts w:ascii="Consolas" w:hAnsi="Consolas"/>
          <w:b w:val="0"/>
          <w:i w:val="0"/>
          <w:sz w:val="19"/>
        </w:rPr>
        <w:t>[Cf. chapter IX]</w:t>
      </w:r>
      <w:r>
        <w:rPr>
          <w:rFonts w:ascii="Times New Roman" w:hAnsi="Times New Roman"/>
          <w:b w:val="0"/>
          <w:i w:val="0"/>
          <w:sz w:val="21"/>
        </w:rPr>
        <w:t xml:space="preserve"> truncate a chapter mid-way — this was caught before rebuilding, by checking the affected pages against the printed book); and require the heading at the top of the page.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Effect: Brihat Samhita 140 → 46 passages; corpus 327 → 233. Four regression tests added; full suite 415 tests passing.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6. Disease recognition, and an interpretability diagnosis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6.1 The cascade and the audit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EfficientNet-B4 at 380×380, trained as a three-stage transfer cascade. A stage-by-stage audit combined accuracy with Grad-CAM inspection: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Stage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Dataset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Classes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Accuracy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Grad-CAM attention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PlantVillage (lab)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99.8%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leaf ✅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Paddy Doctor (field canopy)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97.0%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lesion ✅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PlantDoc (in-the-wild)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72.3%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background ❌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model was right for the wrong reason at stage 3. It attended to soil, sky and image corners rather than to the lesion — and this persisted even on clean PlantVillage images. 72.3% is at the published frontier; the defect is </w:t>
      </w:r>
      <w:r>
        <w:rPr>
          <w:rFonts w:ascii="Times New Roman" w:hAnsi="Times New Roman"/>
          <w:b w:val="0"/>
          <w:i/>
          <w:sz w:val="21"/>
        </w:rPr>
        <w:t>how</w:t>
      </w:r>
      <w:r>
        <w:rPr>
          <w:rFonts w:ascii="Times New Roman" w:hAnsi="Times New Roman"/>
          <w:b w:val="0"/>
          <w:i w:val="0"/>
          <w:sz w:val="21"/>
        </w:rPr>
        <w:t xml:space="preserve"> that number is obtained.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Methodological note: before blaming the model we tested three Grad-CAM target layers, because an artefact identical across models and inputs is usually the visualisation. We were partly right — </w:t>
      </w:r>
      <w:r>
        <w:rPr>
          <w:rFonts w:ascii="Consolas" w:hAnsi="Consolas"/>
          <w:b w:val="0"/>
          <w:i w:val="0"/>
          <w:sz w:val="19"/>
        </w:rPr>
        <w:t>conv_head</w:t>
      </w:r>
      <w:r>
        <w:rPr>
          <w:rFonts w:ascii="Times New Roman" w:hAnsi="Times New Roman"/>
          <w:b w:val="0"/>
          <w:i w:val="0"/>
          <w:sz w:val="21"/>
        </w:rPr>
        <w:t xml:space="preserve"> exaggerates corners — and partly wrong: the bias persists at </w:t>
      </w:r>
      <w:r>
        <w:rPr>
          <w:rFonts w:ascii="Consolas" w:hAnsi="Consolas"/>
          <w:b w:val="0"/>
          <w:i w:val="0"/>
          <w:sz w:val="19"/>
        </w:rPr>
        <w:t>blocks[-2]</w:t>
      </w:r>
      <w:r>
        <w:rPr>
          <w:rFonts w:ascii="Times New Roman" w:hAnsi="Times New Roman"/>
          <w:b w:val="0"/>
          <w:i w:val="0"/>
          <w:sz w:val="21"/>
        </w:rPr>
        <w:t>, so it is a real model property. Corner hotspots were separately traced to noisy Grad-CAM variants and resolved with eigen-smoothing.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6.2 Three failed fixes (reported in full)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Fix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Result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Why it failed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Background randomisation (Phase 5-R)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worse at every stage (PlantVillage 99.8→90.7, PlantDoc 72.3→66.8)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consistent with published findings; degrades features without teaching leaf focus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Linear-probe fine-tuning (freeze backbone)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61% (−11pp)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the damage is in the backbone, not the head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Inference-time YOLO cropping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58.2% (−14pp)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removes the background the model depends on, exposing its true leaf-only ability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third is the informative one: cropping at inference </w:t>
      </w:r>
      <w:r>
        <w:rPr>
          <w:rFonts w:ascii="Times New Roman" w:hAnsi="Times New Roman"/>
          <w:b w:val="0"/>
          <w:i/>
          <w:sz w:val="21"/>
        </w:rPr>
        <w:t>lowers</w:t>
      </w:r>
      <w:r>
        <w:rPr>
          <w:rFonts w:ascii="Times New Roman" w:hAnsi="Times New Roman"/>
          <w:b w:val="0"/>
          <w:i w:val="0"/>
          <w:sz w:val="21"/>
        </w:rPr>
        <w:t xml:space="preserve"> accuracy by 14 points, which is direct evidence of how much of the 72.3% was background-derived.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6.3 The fix that worked — C-PD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Retraining on GT-box leaf crops, warm-started from the healthy PlantVillage backbone: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66.6% top-1, 0.652 macro-F1</w:t>
      </w:r>
      <w:r>
        <w:rPr>
          <w:rFonts w:ascii="Times New Roman" w:hAnsi="Times New Roman"/>
          <w:b w:val="0"/>
          <w:i w:val="0"/>
          <w:sz w:val="21"/>
        </w:rPr>
        <w:t xml:space="preserve"> on 452 held-out leaf crops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1"/>
        </w:rPr>
        <w:t xml:space="preserve">Grad-CAM attention moved </w:t>
      </w:r>
      <w:r>
        <w:rPr>
          <w:rFonts w:ascii="Times New Roman" w:hAnsi="Times New Roman"/>
          <w:b/>
          <w:i w:val="0"/>
          <w:sz w:val="21"/>
        </w:rPr>
        <w:t>onto the leaf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 w:val="0"/>
          <w:sz w:val="21"/>
        </w:rPr>
        <w:t>Healthy-versus-diseased discrimination is near-perfect; the 27-class errors are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predominantly within-crop </w:t>
      </w:r>
      <w:r>
        <w:rPr>
          <w:rFonts w:ascii="Times New Roman" w:hAnsi="Times New Roman"/>
          <w:b w:val="0"/>
          <w:i/>
          <w:sz w:val="21"/>
        </w:rPr>
        <w:t>subtype</w:t>
      </w:r>
      <w:r>
        <w:rPr>
          <w:rFonts w:ascii="Times New Roman" w:hAnsi="Times New Roman"/>
          <w:b w:val="0"/>
          <w:i w:val="0"/>
          <w:sz w:val="21"/>
        </w:rPr>
        <w:t xml:space="preserve"> confusion (corn rust ↔ corn blight, potato early ↔ late blight) rather than health-status errors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honest framing: </w:t>
      </w:r>
      <w:r>
        <w:rPr>
          <w:rFonts w:ascii="Times New Roman" w:hAnsi="Times New Roman"/>
          <w:b/>
          <w:i w:val="0"/>
          <w:sz w:val="21"/>
        </w:rPr>
        <w:t>66.6% earned from the leaf is worth more than 72.3% earned from the background.</w:t>
      </w:r>
      <w:r>
        <w:rPr>
          <w:rFonts w:ascii="Times New Roman" w:hAnsi="Times New Roman"/>
          <w:b w:val="0"/>
          <w:i w:val="0"/>
          <w:sz w:val="21"/>
        </w:rPr>
        <w:t xml:space="preserve"> The two numbers are measured on different inputs and are not directly comparable.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6.4 Crop-agnostic disease-type experiment (isolated)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A separate experiment pooled ~194 crop×disease labels into ~13 crop-agnostic disease </w:t>
      </w:r>
      <w:r>
        <w:rPr>
          <w:rFonts w:ascii="Times New Roman" w:hAnsi="Times New Roman"/>
          <w:b w:val="0"/>
          <w:i/>
          <w:sz w:val="21"/>
        </w:rPr>
        <w:t>types</w:t>
      </w:r>
      <w:r>
        <w:rPr>
          <w:rFonts w:ascii="Times New Roman" w:hAnsi="Times New Roman"/>
          <w:b w:val="0"/>
          <w:i w:val="0"/>
          <w:sz w:val="21"/>
        </w:rPr>
        <w:t xml:space="preserve"> (rust, blight, leaf_spot, …), aligning the vision side with the symptom-based direction of the retrieval side.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Run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Test accuracy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Macro F1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Grad-CAM on field images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uncropped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0.782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background ❌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YOLO leaf-crop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0.719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0.635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lesions ✅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The same trade-off as C-PD, and the same decision: keep the cropped model. Weak classes are honestly reported — downy_mildew 0.000 (8 samples, too few to claim anything), early_blight 0.364 (early ↔ late confusion).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7. Soil recognition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EfficientNet-B0, multi-task with three heads: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Head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Top-1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Macro F1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soil_type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89.92%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0.851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moisture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95.76%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0.958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texture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67.86%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0.678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Texture is the weak head and remains open.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8. The integration layer — the core contribution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8.1 Strategy A versus Strategy B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The question: how does a modern vision label reach a classical text?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Strategy A (template).</w:t>
      </w:r>
      <w:r>
        <w:rPr>
          <w:rFonts w:ascii="Times New Roman" w:hAnsi="Times New Roman"/>
          <w:b w:val="0"/>
          <w:i w:val="0"/>
          <w:sz w:val="21"/>
        </w:rPr>
        <w:t xml:space="preserve"> Insert the label into a fixed template: </w:t>
      </w:r>
      <w:r>
        <w:rPr>
          <w:rFonts w:ascii="Times New Roman" w:hAnsi="Times New Roman"/>
          <w:b w:val="0"/>
          <w:i/>
          <w:sz w:val="21"/>
        </w:rPr>
        <w:t>"treatment for Apple Scab Leaf in apple"</w:t>
      </w:r>
      <w:r>
        <w:rPr>
          <w:rFonts w:ascii="Times New Roman" w:hAnsi="Times New Roman"/>
          <w:b w:val="0"/>
          <w:i w:val="0"/>
          <w:sz w:val="21"/>
        </w:rPr>
        <w:t xml:space="preserve">. Retrieval score </w:t>
      </w:r>
      <w:r>
        <w:rPr>
          <w:rFonts w:ascii="Times New Roman" w:hAnsi="Times New Roman"/>
          <w:b/>
          <w:i w:val="0"/>
          <w:sz w:val="21"/>
        </w:rPr>
        <w:t>0.01–0.04</w:t>
      </w:r>
      <w:r>
        <w:rPr>
          <w:rFonts w:ascii="Times New Roman" w:hAnsi="Times New Roman"/>
          <w:b w:val="0"/>
          <w:i w:val="0"/>
          <w:sz w:val="21"/>
        </w:rPr>
        <w:t>. The corpus does not contain the phrase "apple scab", so nothing matches.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Strategy B (LLM-mediated rewrite).</w:t>
      </w:r>
      <w:r>
        <w:rPr>
          <w:rFonts w:ascii="Times New Roman" w:hAnsi="Times New Roman"/>
          <w:b w:val="0"/>
          <w:i w:val="0"/>
          <w:sz w:val="21"/>
        </w:rPr>
        <w:t xml:space="preserve"> Ask a language model to re-express the label in the descriptive vocabulary the texts use: </w:t>
      </w:r>
      <w:r>
        <w:rPr>
          <w:rFonts w:ascii="Times New Roman" w:hAnsi="Times New Roman"/>
          <w:b w:val="0"/>
          <w:i/>
          <w:sz w:val="21"/>
        </w:rPr>
        <w:t>"dark rough scabby patches spreading over the leaf"</w:t>
      </w:r>
      <w:r>
        <w:rPr>
          <w:rFonts w:ascii="Times New Roman" w:hAnsi="Times New Roman"/>
          <w:b w:val="0"/>
          <w:i w:val="0"/>
          <w:sz w:val="21"/>
        </w:rPr>
        <w:t xml:space="preserve">. Retrieval score </w:t>
      </w:r>
      <w:r>
        <w:rPr>
          <w:rFonts w:ascii="Times New Roman" w:hAnsi="Times New Roman"/>
          <w:b/>
          <w:i w:val="0"/>
          <w:sz w:val="21"/>
        </w:rPr>
        <w:t>0.59–0.96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This ablation is the clearest evidence in the project. The bridge is not incidental engineering — it is what makes the connection possible at all.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8.2 Symptom-driven realignment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An early version led queries with the crop name and refused when that name was absent from the texts. Dr. Sunita T. Pandey identified this as a conceptual error: the texts are symptom-general, not crop-indexed. Verified by literature review before any change was made.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Two corrections followed: Strategy B now enforces "lead with the symptom" and demotes the crop to background context; and the grounded prompt gained a rule scoping refusal — a passage addressing the </w:t>
      </w:r>
      <w:r>
        <w:rPr>
          <w:rFonts w:ascii="Times New Roman" w:hAnsi="Times New Roman"/>
          <w:b w:val="0"/>
          <w:i/>
          <w:sz w:val="21"/>
        </w:rPr>
        <w:t>observed condition</w:t>
      </w:r>
      <w:r>
        <w:rPr>
          <w:rFonts w:ascii="Times New Roman" w:hAnsi="Times New Roman"/>
          <w:b w:val="0"/>
          <w:i w:val="0"/>
          <w:sz w:val="21"/>
        </w:rPr>
        <w:t xml:space="preserve"> is sufficient evidence </w:t>
      </w:r>
      <w:r>
        <w:rPr>
          <w:rFonts w:ascii="Times New Roman" w:hAnsi="Times New Roman"/>
          <w:b/>
          <w:i w:val="0"/>
          <w:sz w:val="21"/>
        </w:rPr>
        <w:t>even if it never names the crop</w:t>
      </w:r>
      <w:r>
        <w:rPr>
          <w:rFonts w:ascii="Times New Roman" w:hAnsi="Times New Roman"/>
          <w:b w:val="0"/>
          <w:i w:val="0"/>
          <w:sz w:val="21"/>
        </w:rPr>
        <w:t>. Refusal applies only when no passage addresses the condition.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faithfulness guardrail was unchanged; its </w:t>
      </w:r>
      <w:r>
        <w:rPr>
          <w:rFonts w:ascii="Times New Roman" w:hAnsi="Times New Roman"/>
          <w:b w:val="0"/>
          <w:i/>
          <w:sz w:val="21"/>
        </w:rPr>
        <w:t>misapplication</w:t>
      </w:r>
      <w:r>
        <w:rPr>
          <w:rFonts w:ascii="Times New Roman" w:hAnsi="Times New Roman"/>
          <w:b w:val="0"/>
          <w:i w:val="0"/>
          <w:sz w:val="21"/>
        </w:rPr>
        <w:t xml:space="preserve"> was corrected. Before this, the system was under-reporting genuine coverage — refusing cases the texts do cover, which undercut the very bridge that constitutes the contribution.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8.3 Scope handling and calibrated confidence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classifier has a fixed 27-class head and structurally cannot say "I don't know". Asking it whether a plant is supported asks a question it cannot answer. The design instead has </w:t>
      </w:r>
      <w:r>
        <w:rPr>
          <w:rFonts w:ascii="Times New Roman" w:hAnsi="Times New Roman"/>
          <w:b/>
          <w:i w:val="0"/>
          <w:sz w:val="21"/>
        </w:rPr>
        <w:t>the farmer declare the crop and the model name the disease</w:t>
      </w:r>
      <w:r>
        <w:rPr>
          <w:rFonts w:ascii="Times New Roman" w:hAnsi="Times New Roman"/>
          <w:b w:val="0"/>
          <w:i w:val="0"/>
          <w:sz w:val="21"/>
        </w:rPr>
        <w:t xml:space="preserve"> — a clean division of labour, since the person reliably knows their own crop.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For crops outside training, Dr. Pandey's refinement applies: disease appearance transfers across species, so rather than refuse, the system runs the model, displays calibrated confidence, advises through the symptom bridge with an explicit caution, and routes low-confidence cases to expert review. Samples are collected for offline expert-validated retraining — never live self-learning, which would poison the model.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9. Grounded generation and refusal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Llama-3.1-8B (4-bit) under a prompt that enforces three rules: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 xml:space="preserve">answer </w:t>
      </w:r>
      <w:r>
        <w:rPr>
          <w:rFonts w:ascii="Times New Roman" w:hAnsi="Times New Roman"/>
          <w:b/>
          <w:i w:val="0"/>
          <w:sz w:val="21"/>
        </w:rPr>
        <w:t>only</w:t>
      </w:r>
      <w:r>
        <w:rPr>
          <w:rFonts w:ascii="Times New Roman" w:hAnsi="Times New Roman"/>
          <w:b w:val="0"/>
          <w:i w:val="0"/>
          <w:sz w:val="21"/>
        </w:rPr>
        <w:t xml:space="preserve"> from retrieved passages;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 xml:space="preserve">cite every claim as </w:t>
      </w:r>
      <w:r>
        <w:rPr>
          <w:rFonts w:ascii="Consolas" w:hAnsi="Consolas"/>
          <w:b w:val="0"/>
          <w:i w:val="0"/>
          <w:sz w:val="19"/>
        </w:rPr>
        <w:t>[Source Text, ch.X, v.Y]</w:t>
      </w:r>
      <w:r>
        <w:rPr>
          <w:rFonts w:ascii="Times New Roman" w:hAnsi="Times New Roman"/>
          <w:b w:val="0"/>
          <w:i w:val="0"/>
          <w:sz w:val="21"/>
        </w:rPr>
        <w:t>;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 xml:space="preserve">if the passages are insufficient, </w:t>
      </w:r>
      <w:r>
        <w:rPr>
          <w:rFonts w:ascii="Times New Roman" w:hAnsi="Times New Roman"/>
          <w:b/>
          <w:i w:val="0"/>
          <w:sz w:val="21"/>
        </w:rPr>
        <w:t>say so and stop</w:t>
      </w:r>
      <w:r>
        <w:rPr>
          <w:rFonts w:ascii="Times New Roman" w:hAnsi="Times New Roman"/>
          <w:b w:val="0"/>
          <w:i w:val="0"/>
          <w:sz w:val="21"/>
        </w:rPr>
        <w:t xml:space="preserve"> — do not supplement from general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knowledge.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Rule 3 is what the evaluation is designed to test. An ungrounded control (the same model with no retrieved context) provides the fabrication baseline.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10. Evaluation methodology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Query set.</w:t>
      </w:r>
      <w:r>
        <w:rPr>
          <w:rFonts w:ascii="Times New Roman" w:hAnsi="Times New Roman"/>
          <w:b w:val="0"/>
          <w:i w:val="0"/>
          <w:sz w:val="21"/>
        </w:rPr>
        <w:t xml:space="preserve"> 24 silver queries: 22 initially labelled answerable, 2 deliberate negatives that nothing in the corpus addresses. Silver, not gold — authored by the project, pending expert ratification. Labels are book-level, which supports Precision@k, nDCG, MRR and Hit@k, but leaves Recall@k undefined until passage-level labels exist.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Retrieval metrics.</w:t>
      </w:r>
      <w:r>
        <w:rPr>
          <w:rFonts w:ascii="Times New Roman" w:hAnsi="Times New Roman"/>
          <w:b w:val="0"/>
          <w:i w:val="0"/>
          <w:sz w:val="21"/>
        </w:rPr>
        <w:t xml:space="preserve"> Precision@5, nDCG@5, MRR, Hit@5, with three ablations: keyword-only (BM25), dense-only, and hybrid without reranking.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Generation metrics.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sz w:val="21"/>
        </w:rPr>
        <w:t>grounded answer rate</w:t>
      </w:r>
      <w:r>
        <w:rPr>
          <w:rFonts w:ascii="Times New Roman" w:hAnsi="Times New Roman"/>
          <w:b w:val="0"/>
          <w:i w:val="0"/>
          <w:sz w:val="21"/>
        </w:rPr>
        <w:t xml:space="preserve"> — answered, with a citation that resolves to a retrieved passage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sz w:val="21"/>
        </w:rPr>
        <w:t>valid citation rate</w:t>
      </w:r>
      <w:r>
        <w:rPr>
          <w:rFonts w:ascii="Times New Roman" w:hAnsi="Times New Roman"/>
          <w:b w:val="0"/>
          <w:i w:val="0"/>
          <w:sz w:val="21"/>
        </w:rPr>
        <w:t xml:space="preserve"> — citations that resolve correctly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sz w:val="21"/>
        </w:rPr>
        <w:t>honest refusal</w:t>
      </w:r>
      <w:r>
        <w:rPr>
          <w:rFonts w:ascii="Times New Roman" w:hAnsi="Times New Roman"/>
          <w:b w:val="0"/>
          <w:i w:val="0"/>
          <w:sz w:val="21"/>
        </w:rPr>
        <w:t xml:space="preserve"> — refused on the negative controls (higher is better)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sz w:val="21"/>
        </w:rPr>
        <w:t>over-refusal</w:t>
      </w:r>
      <w:r>
        <w:rPr>
          <w:rFonts w:ascii="Times New Roman" w:hAnsi="Times New Roman"/>
          <w:b w:val="0"/>
          <w:i w:val="0"/>
          <w:sz w:val="21"/>
        </w:rPr>
        <w:t xml:space="preserve"> — refused on queries labelled answerable (lower is better — **see Section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13, this metric turned out to be mislabelled**)</w:t>
      </w:r>
    </w:p>
    <w:p>
      <w:pPr>
        <w:pStyle w:val="ListBullet"/>
        <w:spacing w:after="60"/>
      </w:pPr>
      <w:r>
        <w:rPr>
          <w:rFonts w:ascii="Times New Roman" w:hAnsi="Times New Roman"/>
          <w:b w:val="0"/>
          <w:i/>
          <w:sz w:val="21"/>
        </w:rPr>
        <w:t>unfounded citations</w:t>
      </w:r>
      <w:r>
        <w:rPr>
          <w:rFonts w:ascii="Times New Roman" w:hAnsi="Times New Roman"/>
          <w:b w:val="0"/>
          <w:i w:val="0"/>
          <w:sz w:val="21"/>
        </w:rPr>
        <w:t xml:space="preserve"> — citations to passages not retrieved (fabrication)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11. Results — retrieval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Measured on the clean 233-passage corpus: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Variant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P@5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nDCG@5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MRR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Hit@5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full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(hybrid + rerank)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0.6727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0.8779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0.8561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1.0000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dense only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0.6636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0.8818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1.0000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hybrid, no rerank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0.5364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0.7250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keyword only (BM25)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0.3273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0.5151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01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0.6818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The bridge is proven.</w:t>
      </w:r>
      <w:r>
        <w:rPr>
          <w:rFonts w:ascii="Times New Roman" w:hAnsi="Times New Roman"/>
          <w:b w:val="0"/>
          <w:i w:val="0"/>
          <w:sz w:val="21"/>
        </w:rPr>
        <w:t xml:space="preserve"> Full retrieval beats the keyword baseline decisively — nDCG 0.88 versus 0.52, Hit@5 1.00 versus 0.68. Because the corpus is classical translated prose and the queries are modern symptom descriptions, semantic retrieval is not a refinement but a requirement.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Reranking contributes +0.14 P@5</w:t>
      </w:r>
      <w:r>
        <w:rPr>
          <w:rFonts w:ascii="Times New Roman" w:hAnsi="Times New Roman"/>
          <w:b w:val="0"/>
          <w:i w:val="0"/>
          <w:sz w:val="21"/>
        </w:rPr>
        <w:t xml:space="preserve"> over hybrid-without-rerank.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An honest ablation surprise:</w:t>
      </w:r>
      <w:r>
        <w:rPr>
          <w:rFonts w:ascii="Times New Roman" w:hAnsi="Times New Roman"/>
          <w:b w:val="0"/>
          <w:i w:val="0"/>
          <w:sz w:val="21"/>
        </w:rPr>
        <w:t xml:space="preserve"> dense-only performs on par with, and on nDCG marginally above, the full hybrid. BM25 injects lexically-matched but off-topic passages that the reranker only partly removes. With n=22 and book-level labels this gap may be noise, but it is reported rather than suppressed.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12. Results — generation, across three corpus versions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Metric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206 passages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327 passages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233 passages (clean)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grounded answer rate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13.6%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13.64%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13.64%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valid citation rate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14.2%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41.7%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55.00%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over-refusal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54.5%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72.7%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81.82%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honest refusal (negatives)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100%</w:t>
            </w:r>
          </w:p>
        </w:tc>
      </w:tr>
      <w:tr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unfounded citations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0%</w:t>
            </w:r>
          </w:p>
        </w:tc>
        <w:tc>
          <w:tcPr>
            <w:tcW w:type="dxa" w:w="25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0%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RAGAS (gpt-4o-mini judge): faithfulness 0.559, answer relevancy 0.163. An independent cross-check excluding refusals gives faithfulness </w:t>
      </w:r>
      <w:r>
        <w:rPr>
          <w:rFonts w:ascii="Times New Roman" w:hAnsi="Times New Roman"/>
          <w:b/>
          <w:i w:val="0"/>
          <w:sz w:val="21"/>
        </w:rPr>
        <w:t>0.86</w:t>
      </w:r>
      <w:r>
        <w:rPr>
          <w:rFonts w:ascii="Times New Roman" w:hAnsi="Times New Roman"/>
          <w:b w:val="0"/>
          <w:i w:val="0"/>
          <w:sz w:val="21"/>
        </w:rPr>
        <w:t xml:space="preserve"> (n=10) and relevancy 0.48 — the low headline relevancy is dominated by refusal strings, each scoring near zero, not by poor answers.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The observation that drove the rest of this work:</w:t>
      </w:r>
      <w:r>
        <w:rPr>
          <w:rFonts w:ascii="Times New Roman" w:hAnsi="Times New Roman"/>
          <w:b w:val="0"/>
          <w:i w:val="0"/>
          <w:sz w:val="21"/>
        </w:rPr>
        <w:t xml:space="preserve"> across three corpora of different size, different composition, and with a 94-chapter defect fixed in between, the grounded answer rate did not move — 13.64%, exactly 3 of 22, every time.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What </w:t>
      </w:r>
      <w:r>
        <w:rPr>
          <w:rFonts w:ascii="Times New Roman" w:hAnsi="Times New Roman"/>
          <w:b w:val="0"/>
          <w:i/>
          <w:sz w:val="21"/>
        </w:rPr>
        <w:t>did</w:t>
      </w:r>
      <w:r>
        <w:rPr>
          <w:rFonts w:ascii="Times New Roman" w:hAnsi="Times New Roman"/>
          <w:b w:val="0"/>
          <w:i w:val="0"/>
          <w:sz w:val="21"/>
        </w:rPr>
        <w:t xml:space="preserve"> change was weakly-grounded answers: 7 → 3 → 1. As the corpus grew cleaner, the generator stopped producing answers it could not support and refused instead. That single mechanism explains both remaining trends: over-refusal rises because refusals replace weak answers, and valid-citation rate rises because only well-supported answers survive. </w:t>
      </w:r>
      <w:r>
        <w:rPr>
          <w:rFonts w:ascii="Times New Roman" w:hAnsi="Times New Roman"/>
          <w:b/>
          <w:i w:val="0"/>
          <w:sz w:val="21"/>
        </w:rPr>
        <w:t>The system became more honest at every step.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13. The central finding — a measured coverage boundary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If corpus expansion, displacement and a major corpus defect all fail to move the grounded answer rate, the remaining explanation is that the texts do not contain the answers.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This was tested directly. For each of the 22 queries the pipeline retrieves its top-5, and the </w:t>
      </w:r>
      <w:r>
        <w:rPr>
          <w:rFonts w:ascii="Times New Roman" w:hAnsi="Times New Roman"/>
          <w:b/>
          <w:i w:val="0"/>
          <w:sz w:val="21"/>
        </w:rPr>
        <w:t>cross-encoder's own top-1 relevance score</w:t>
      </w:r>
      <w:r>
        <w:rPr>
          <w:rFonts w:ascii="Times New Roman" w:hAnsi="Times New Roman"/>
          <w:b w:val="0"/>
          <w:i w:val="0"/>
          <w:sz w:val="21"/>
        </w:rPr>
        <w:t xml:space="preserve"> is used as the measurement — it is a trained relevance judge and requires no heuristic on top of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Top-1 relevance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Queries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Which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≥ 0.35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— genuine match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4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rain signs (0.72), boring insects (0.70), soil preparation (0.63), yellow/stunted leaves (0.58)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0.15–0.35 — marginal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powdery mildew, mosaic virus, pepper leaf spot, apple rust, corn blight</w:t>
            </w:r>
          </w:p>
        </w:tc>
      </w:tr>
      <w:tr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&lt; 0.15</w:t>
            </w:r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 — no match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13</w:t>
            </w:r>
          </w:p>
        </w:tc>
        <w:tc>
          <w:tcPr>
            <w:tcW w:type="dxa" w:w="336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scab, Septoria, gray leaf spot, early/late blight, bacterial spot, leaf mould, black rot, corn rust, mites</w:t>
            </w:r>
          </w:p>
        </w:tc>
      </w:tr>
    </w:tbl>
    <w:p>
      <w:pPr>
        <w:spacing w:after="80"/>
      </w:pP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Four genuine matches against a grounded answer rate frozen at three.</w:t>
      </w:r>
      <w:r>
        <w:rPr>
          <w:rFonts w:ascii="Times New Roman" w:hAnsi="Times New Roman"/>
          <w:b w:val="0"/>
          <w:i w:val="0"/>
          <w:sz w:val="21"/>
        </w:rPr>
        <w:t xml:space="preserve"> The generator produces an answer almost exactly when the corpus contains one.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Why the gap is structural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passage retrieved rank-1 for 10 of 22 queries is Vrikshayurveda's </w:t>
      </w:r>
      <w:r>
        <w:rPr>
          <w:rFonts w:ascii="Times New Roman" w:hAnsi="Times New Roman"/>
          <w:b/>
          <w:i w:val="0"/>
          <w:sz w:val="21"/>
        </w:rPr>
        <w:t>Table 1 — disorder / cause / symptom / remedy</w:t>
      </w:r>
      <w:r>
        <w:rPr>
          <w:rFonts w:ascii="Times New Roman" w:hAnsi="Times New Roman"/>
          <w:b w:val="0"/>
          <w:i w:val="0"/>
          <w:sz w:val="21"/>
        </w:rPr>
        <w:t xml:space="preserve">. This is real remedy content and the correct table to retrieve. But it is indexed </w:t>
      </w:r>
      <w:r>
        <w:rPr>
          <w:rFonts w:ascii="Times New Roman" w:hAnsi="Times New Roman"/>
          <w:b/>
          <w:i w:val="0"/>
          <w:sz w:val="21"/>
        </w:rPr>
        <w:t>by cause</w:t>
      </w:r>
      <w:r>
        <w:rPr>
          <w:rFonts w:ascii="Times New Roman" w:hAnsi="Times New Roman"/>
          <w:b w:val="0"/>
          <w:i w:val="0"/>
          <w:sz w:val="21"/>
        </w:rPr>
        <w:t xml:space="preserve"> — </w:t>
      </w:r>
      <w:r>
        <w:rPr>
          <w:rFonts w:ascii="Times New Roman" w:hAnsi="Times New Roman"/>
          <w:b w:val="0"/>
          <w:i/>
          <w:sz w:val="21"/>
        </w:rPr>
        <w:t>vata</w:t>
      </w:r>
      <w:r>
        <w:rPr>
          <w:rFonts w:ascii="Times New Roman" w:hAnsi="Times New Roman"/>
          <w:b w:val="0"/>
          <w:i w:val="0"/>
          <w:sz w:val="21"/>
        </w:rPr>
        <w:t xml:space="preserve">, </w:t>
      </w:r>
      <w:r>
        <w:rPr>
          <w:rFonts w:ascii="Times New Roman" w:hAnsi="Times New Roman"/>
          <w:b w:val="0"/>
          <w:i/>
          <w:sz w:val="21"/>
        </w:rPr>
        <w:t>pitta</w:t>
      </w:r>
      <w:r>
        <w:rPr>
          <w:rFonts w:ascii="Times New Roman" w:hAnsi="Times New Roman"/>
          <w:b w:val="0"/>
          <w:i w:val="0"/>
          <w:sz w:val="21"/>
        </w:rPr>
        <w:t xml:space="preserve">, </w:t>
      </w:r>
      <w:r>
        <w:rPr>
          <w:rFonts w:ascii="Times New Roman" w:hAnsi="Times New Roman"/>
          <w:b w:val="0"/>
          <w:i/>
          <w:sz w:val="21"/>
        </w:rPr>
        <w:t>kapha</w:t>
      </w:r>
      <w:r>
        <w:rPr>
          <w:rFonts w:ascii="Times New Roman" w:hAnsi="Times New Roman"/>
          <w:b w:val="0"/>
          <w:i w:val="0"/>
          <w:sz w:val="21"/>
        </w:rPr>
        <w:t xml:space="preserve">, fire, lightning, axe wound, ants, faulty seed. The queries are indexed </w:t>
      </w:r>
      <w:r>
        <w:rPr>
          <w:rFonts w:ascii="Times New Roman" w:hAnsi="Times New Roman"/>
          <w:b/>
          <w:i w:val="0"/>
          <w:sz w:val="21"/>
        </w:rPr>
        <w:t>by lesion appearance</w:t>
      </w:r>
      <w:r>
        <w:rPr>
          <w:rFonts w:ascii="Times New Roman" w:hAnsi="Times New Roman"/>
          <w:b w:val="0"/>
          <w:i w:val="0"/>
          <w:sz w:val="21"/>
        </w:rPr>
        <w:t xml:space="preserve"> — "numerous small dark spots with pale centres". Table 1 has no such row, and none for scab, Septoria or mildew. The reranker returns it because it is the most disease-like text available, then scores it 0.10: </w:t>
      </w:r>
      <w:r>
        <w:rPr>
          <w:rFonts w:ascii="Times New Roman" w:hAnsi="Times New Roman"/>
          <w:b w:val="0"/>
          <w:i/>
          <w:sz w:val="21"/>
        </w:rPr>
        <w:t>the best available, and not a match.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Consequence for the metric</w:t>
      </w:r>
    </w:p>
    <w:p>
      <w:pPr>
        <w:jc w:val="both"/>
      </w:pPr>
      <w:r>
        <w:rPr>
          <w:rFonts w:ascii="Consolas" w:hAnsi="Consolas"/>
          <w:b w:val="0"/>
          <w:i w:val="0"/>
          <w:sz w:val="19"/>
        </w:rPr>
        <w:t>expect_answerable: true</w:t>
      </w:r>
      <w:r>
        <w:rPr>
          <w:rFonts w:ascii="Times New Roman" w:hAnsi="Times New Roman"/>
          <w:b w:val="0"/>
          <w:i w:val="0"/>
          <w:sz w:val="21"/>
        </w:rPr>
        <w:t xml:space="preserve"> on all 22 queries was an assumption, never verified against the corpus. An 81.8% over-refusal rate was therefore measured against 13 queries that have no answer. The system's actual behaviour is: </w:t>
      </w:r>
      <w:r>
        <w:rPr>
          <w:rFonts w:ascii="Times New Roman" w:hAnsi="Times New Roman"/>
          <w:b/>
          <w:i w:val="0"/>
          <w:sz w:val="21"/>
        </w:rPr>
        <w:t>answers approximately 3 of the 4 it can, refuses the rest, and fabricates nothing.</w:t>
      </w:r>
      <w:r>
        <w:rPr>
          <w:rFonts w:ascii="Times New Roman" w:hAnsi="Times New Roman"/>
          <w:b w:val="0"/>
          <w:i w:val="0"/>
          <w:sz w:val="21"/>
        </w:rPr>
        <w:t xml:space="preserve"> That is the desired behaviour of a grounded system, and the metric was concealing it.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query set has been re-labelled accordingly: the 13 are now marked unanswerable, with the distinction preserved between </w:t>
      </w:r>
      <w:r>
        <w:rPr>
          <w:rFonts w:ascii="Times New Roman" w:hAnsi="Times New Roman"/>
          <w:b w:val="0"/>
          <w:i/>
          <w:sz w:val="21"/>
        </w:rPr>
        <w:t>out-of-scope</w:t>
      </w:r>
      <w:r>
        <w:rPr>
          <w:rFonts w:ascii="Times New Roman" w:hAnsi="Times New Roman"/>
          <w:b w:val="0"/>
          <w:i w:val="0"/>
          <w:sz w:val="21"/>
        </w:rPr>
        <w:t xml:space="preserve"> (nothing in the corpus addresses the topic — the 2 original controls) and </w:t>
      </w:r>
      <w:r>
        <w:rPr>
          <w:rFonts w:ascii="Times New Roman" w:hAnsi="Times New Roman"/>
          <w:b w:val="0"/>
          <w:i/>
          <w:sz w:val="21"/>
        </w:rPr>
        <w:t>no-coverage</w:t>
      </w:r>
      <w:r>
        <w:rPr>
          <w:rFonts w:ascii="Times New Roman" w:hAnsi="Times New Roman"/>
          <w:b w:val="0"/>
          <w:i w:val="0"/>
          <w:sz w:val="21"/>
        </w:rPr>
        <w:t xml:space="preserve"> (the books are topically relevant but contain no matching passage — these 13). The original file is retained unchanged for comparison.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A secondary defect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Four citation labels are shared by 17 different passages — five distinct passages all cite as </w:t>
      </w:r>
      <w:r>
        <w:rPr>
          <w:rFonts w:ascii="Consolas" w:hAnsi="Consolas"/>
          <w:b w:val="0"/>
          <w:i w:val="0"/>
          <w:sz w:val="19"/>
        </w:rPr>
        <w:t>[Vrikshayurveda, ch. full, v. 1.2]</w:t>
      </w:r>
      <w:r>
        <w:rPr>
          <w:rFonts w:ascii="Times New Roman" w:hAnsi="Times New Roman"/>
          <w:b w:val="0"/>
          <w:i w:val="0"/>
          <w:sz w:val="21"/>
        </w:rPr>
        <w:t>. A citation therefore cannot identify which passage was used, which means the 55% valid-citation rate is scored against labels that are not unique. This must be corrected before any citation figure is reported.</w:t>
      </w:r>
    </w:p>
    <w:p>
      <w:pPr>
        <w:spacing w:before="160" w:after="80"/>
      </w:pPr>
      <w:r>
        <w:rPr>
          <w:rFonts w:ascii="Times New Roman" w:hAnsi="Times New Roman"/>
          <w:b/>
          <w:i w:val="0"/>
          <w:color w:val="1F4E79"/>
          <w:sz w:val="23"/>
        </w:rPr>
        <w:t>Why this is a contribution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The honest framing of this project is </w:t>
      </w:r>
      <w:r>
        <w:rPr>
          <w:rFonts w:ascii="Times New Roman" w:hAnsi="Times New Roman"/>
          <w:b/>
          <w:i w:val="0"/>
          <w:sz w:val="21"/>
        </w:rPr>
        <w:t>not</w:t>
      </w:r>
      <w:r>
        <w:rPr>
          <w:rFonts w:ascii="Times New Roman" w:hAnsi="Times New Roman"/>
          <w:b w:val="0"/>
          <w:i w:val="0"/>
          <w:sz w:val="21"/>
        </w:rPr>
        <w:t xml:space="preserve"> "a RAG system that answers disease queries from Sanskrit texts" — the texts cannot answer most of them, and claiming otherwise would require fabrication. It is:</w:t>
      </w:r>
    </w:p>
    <w:p>
      <w:pPr>
        <w:spacing w:after="160"/>
        <w:ind w:left="480"/>
      </w:pPr>
      <w:r>
        <w:rPr>
          <w:rFonts w:ascii="Times New Roman" w:hAnsi="Times New Roman"/>
          <w:b w:val="0"/>
          <w:i/>
          <w:color w:val="666666"/>
          <w:sz w:val="21"/>
        </w:rPr>
        <w:t>A grounded multimodal system that maps modern vision-model disease labels onto classical IKS treatment knowledge, and that refuses rather than fabricates where the two traditions do not overlap — with that overlap measured, at 4 to 9 of 22 modern leaf-disease categories.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The refusal behaviour is the safety result. The coverage gap is a quantified finding about the limits of IKS digitisation, not a failure of the pipeline.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14. Negative results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Retained in full; each constrains what a future researcher should attempt.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Background randomisation</w:t>
      </w:r>
      <w:r>
        <w:rPr>
          <w:rFonts w:ascii="Times New Roman" w:hAnsi="Times New Roman"/>
          <w:b w:val="0"/>
          <w:i w:val="0"/>
          <w:sz w:val="21"/>
        </w:rPr>
        <w:t xml:space="preserve"> degrades accuracy at every cascade stage without fixing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attention.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Linear-probe fine-tuning</w:t>
      </w:r>
      <w:r>
        <w:rPr>
          <w:rFonts w:ascii="Times New Roman" w:hAnsi="Times New Roman"/>
          <w:b w:val="0"/>
          <w:i w:val="0"/>
          <w:sz w:val="21"/>
        </w:rPr>
        <w:t xml:space="preserve"> loses 11 points — the damage is in the backbone.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Inference-time cropping</w:t>
      </w:r>
      <w:r>
        <w:rPr>
          <w:rFonts w:ascii="Times New Roman" w:hAnsi="Times New Roman"/>
          <w:b w:val="0"/>
          <w:i w:val="0"/>
          <w:sz w:val="21"/>
        </w:rPr>
        <w:t xml:space="preserve"> loses 14 points, quantifying the background dependence.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Corpus expansion can hurt.</w:t>
      </w:r>
      <w:r>
        <w:rPr>
          <w:rFonts w:ascii="Times New Roman" w:hAnsi="Times New Roman"/>
          <w:b w:val="0"/>
          <w:i w:val="0"/>
          <w:sz w:val="21"/>
        </w:rPr>
        <w:t xml:space="preserve"> Adding a topically-adjacent but non-matching source (an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 xml:space="preserve">insect-pest manual, evaluated against fungal-disease queries) displaced classical passages from the top-5 and raised over-refusal by 18 points. </w:t>
      </w:r>
      <w:r>
        <w:rPr>
          <w:rFonts w:ascii="Times New Roman" w:hAnsi="Times New Roman"/>
          <w:b w:val="0"/>
          <w:i/>
          <w:sz w:val="21"/>
        </w:rPr>
        <w:t>Corpus growth must be matched to the query distribution, not to volume.</w:t>
      </w:r>
      <w:r>
        <w:rPr>
          <w:rFonts w:ascii="Times New Roman" w:hAnsi="Times New Roman"/>
          <w:b w:val="0"/>
          <w:i w:val="0"/>
          <w:sz w:val="21"/>
        </w:rPr>
        <w:t xml:space="preserve"> The process failure is recorded too: the source was recommended on keyword counts without checking overlap against the specific diseases in the query set.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A silver query set can encode a false assumption.</w:t>
      </w:r>
      <w:r>
        <w:rPr>
          <w:rFonts w:ascii="Times New Roman" w:hAnsi="Times New Roman"/>
          <w:b w:val="0"/>
          <w:i w:val="0"/>
          <w:sz w:val="21"/>
        </w:rPr>
        <w:t xml:space="preserve"> Thirteen of 22 queries were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labelled answerable without verification, producing a metric that penalised correct behaviour for three evaluation cycles.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15. Limitations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Silver labels.</w:t>
      </w:r>
      <w:r>
        <w:rPr>
          <w:rFonts w:ascii="Times New Roman" w:hAnsi="Times New Roman"/>
          <w:b w:val="0"/>
          <w:i w:val="0"/>
          <w:sz w:val="21"/>
        </w:rPr>
        <w:t xml:space="preserve"> Expert ratification is pending; all evaluation numbers are preliminary.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Small evaluation set.</w:t>
      </w:r>
      <w:r>
        <w:rPr>
          <w:rFonts w:ascii="Times New Roman" w:hAnsi="Times New Roman"/>
          <w:b w:val="0"/>
          <w:i w:val="0"/>
          <w:sz w:val="21"/>
        </w:rPr>
        <w:t xml:space="preserve"> 22 queries; several per-class figures rest on very few examples.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Recall undefined.</w:t>
      </w:r>
      <w:r>
        <w:rPr>
          <w:rFonts w:ascii="Times New Roman" w:hAnsi="Times New Roman"/>
          <w:b w:val="0"/>
          <w:i w:val="0"/>
          <w:sz w:val="21"/>
        </w:rPr>
        <w:t xml:space="preserve"> Book-level labels only; passage-level labels are needed.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Citation granularity broken</w:t>
      </w:r>
      <w:r>
        <w:rPr>
          <w:rFonts w:ascii="Times New Roman" w:hAnsi="Times New Roman"/>
          <w:b w:val="0"/>
          <w:i w:val="0"/>
          <w:sz w:val="21"/>
        </w:rPr>
        <w:t xml:space="preserve"> (Section 13).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Corpus coverage</w:t>
      </w:r>
      <w:r>
        <w:rPr>
          <w:rFonts w:ascii="Times New Roman" w:hAnsi="Times New Roman"/>
          <w:b w:val="0"/>
          <w:i w:val="0"/>
          <w:sz w:val="21"/>
        </w:rPr>
        <w:t xml:space="preserve"> is the binding constraint on usefulness, not retrieval quality.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Weak texture head</w:t>
      </w:r>
      <w:r>
        <w:rPr>
          <w:rFonts w:ascii="Times New Roman" w:hAnsi="Times New Roman"/>
          <w:b w:val="0"/>
          <w:i w:val="0"/>
          <w:sz w:val="21"/>
        </w:rPr>
        <w:t xml:space="preserve"> (67.86%) on the soil model.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English only.</w:t>
      </w:r>
      <w:r>
        <w:rPr>
          <w:rFonts w:ascii="Times New Roman" w:hAnsi="Times New Roman"/>
          <w:b w:val="0"/>
          <w:i w:val="0"/>
          <w:sz w:val="21"/>
        </w:rPr>
        <w:t xml:space="preserve"> The corpus is translated; Sanskrit primary sources are not processed.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Vishvavallabha not yet ingested</w:t>
      </w:r>
      <w:r>
        <w:rPr>
          <w:rFonts w:ascii="Times New Roman" w:hAnsi="Times New Roman"/>
          <w:b w:val="0"/>
          <w:i w:val="0"/>
          <w:sz w:val="21"/>
        </w:rPr>
        <w:t xml:space="preserve"> — the classical text that treats plant disease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directly, planned from the outset, still unobtained.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16. Future work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Immediate, in order: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Ingest Vishvavallabha.</w:t>
      </w:r>
      <w:r>
        <w:rPr>
          <w:rFonts w:ascii="Times New Roman" w:hAnsi="Times New Roman"/>
          <w:b w:val="0"/>
          <w:i w:val="0"/>
          <w:sz w:val="21"/>
        </w:rPr>
        <w:t xml:space="preserve"> It is the classical text covering plant disease and pest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management, and it is now the only credible route to raising the grounded answer rate.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Extend the query set into the corpus's actual strengths</w:t>
      </w:r>
      <w:r>
        <w:rPr>
          <w:rFonts w:ascii="Times New Roman" w:hAnsi="Times New Roman"/>
          <w:b w:val="0"/>
          <w:i w:val="0"/>
          <w:sz w:val="21"/>
        </w:rPr>
        <w:t xml:space="preserve"> — pest damage, soil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preparation, sowing season, rainfall prediction. The four strong matches show what this corpus genuinely supports; the current query set tests almost exclusively what it does not.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Repair citation granularity</w:t>
      </w:r>
      <w:r>
        <w:rPr>
          <w:rFonts w:ascii="Times New Roman" w:hAnsi="Times New Roman"/>
          <w:b w:val="0"/>
          <w:i w:val="0"/>
          <w:sz w:val="21"/>
        </w:rPr>
        <w:t xml:space="preserve"> — real verse ranges in place of </w:t>
      </w:r>
      <w:r>
        <w:rPr>
          <w:rFonts w:ascii="Consolas" w:hAnsi="Consolas"/>
          <w:b w:val="0"/>
          <w:i w:val="0"/>
          <w:sz w:val="19"/>
        </w:rPr>
        <w:t>ch.full v.1.2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pStyle w:val="ListNumber"/>
        <w:spacing w:after="60"/>
      </w:pPr>
      <w:r>
        <w:rPr>
          <w:rFonts w:ascii="Times New Roman" w:hAnsi="Times New Roman"/>
          <w:b/>
          <w:i w:val="0"/>
          <w:sz w:val="21"/>
        </w:rPr>
        <w:t>Expert gold query set</w:t>
      </w:r>
      <w:r>
        <w:rPr>
          <w:rFonts w:ascii="Times New Roman" w:hAnsi="Times New Roman"/>
          <w:b w:val="0"/>
          <w:i w:val="0"/>
          <w:sz w:val="21"/>
        </w:rPr>
        <w:t xml:space="preserve"> with passage-level labels, enabling Recall@k.</w:t>
      </w:r>
    </w:p>
    <w:p>
      <w:pPr>
        <w:jc w:val="both"/>
      </w:pPr>
      <w:r>
        <w:rPr>
          <w:rFonts w:ascii="Times New Roman" w:hAnsi="Times New Roman"/>
          <w:b/>
          <w:i w:val="0"/>
          <w:sz w:val="21"/>
        </w:rPr>
        <w:t>Further: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>Held-out-crop evaluation of the disease-type model — train excluding one crop, test 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it — as direct evidence for cross-plant generalisation.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>Expert validation of generated recommendations by agronomists.</w:t>
      </w:r>
    </w:p>
    <w:p>
      <w:pPr>
        <w:pStyle w:val="ListNumber"/>
        <w:spacing w:after="60"/>
      </w:pPr>
      <w:r>
        <w:rPr>
          <w:rFonts w:ascii="Times New Roman" w:hAnsi="Times New Roman"/>
          <w:b w:val="0"/>
          <w:i w:val="0"/>
          <w:sz w:val="21"/>
        </w:rPr>
        <w:t>Indian-language extension.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17. Conclusion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The system works end to end: a leaf photograph and a soil photograph produce a disease diagnosis, a soil assessment, a visual explanation, and advice that is either cited to a specific classical passage or honestly refused. The symptom-based bridge that makes the connection possible is validated by ablation — 0.59–0.96 against 0.01–0.04 — and the faithfulness guarantee holds without exception: zero fabricated citations across every evaluation run.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The most valuable result was not planned. A metric that appeared to show failure — 81.8% over-refusal — turned out to be measuring the system against questions the source tradition cannot answer. Establishing that required ruling out corpus size, passage displacement and a major corpus defect in turn, and then measuring the texts directly. The outcome is a quantified boundary between classical Indian plant-disease aetiology and the modern lesion- based taxonomy: roughly 4 to 9 of 22 modern leaf-disease categories have genuine support.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That boundary is worth stating plainly, because the alternative — a system that produces a confident classical-sounding remedy for Septoria leaf spot — would be worse than useless. It would be a fabrication presented as heritage.</w:t>
      </w:r>
    </w:p>
    <w:p>
      <w:pPr>
        <w:spacing w:after="160"/>
      </w:pPr>
      <w:r>
        <w:rPr>
          <w:color w:val="CCCCCC"/>
          <w:sz w:val="14"/>
        </w:rPr>
        <w:t>________________________________________________________________________________________________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Appendix A — Reproducibility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Code:</w:t>
      </w:r>
      <w:r>
        <w:rPr>
          <w:rFonts w:ascii="Times New Roman" w:hAnsi="Times New Roman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19"/>
        </w:rPr>
        <w:t>src/</w:t>
      </w:r>
      <w:r>
        <w:rPr>
          <w:rFonts w:ascii="Times New Roman" w:hAnsi="Times New Roman"/>
          <w:b w:val="0"/>
          <w:i w:val="0"/>
          <w:sz w:val="21"/>
        </w:rPr>
        <w:t xml:space="preserve"> (disease, soil, rag, integration, explain), </w:t>
      </w:r>
      <w:r>
        <w:rPr>
          <w:rFonts w:ascii="Consolas" w:hAnsi="Consolas"/>
          <w:b w:val="0"/>
          <w:i w:val="0"/>
          <w:sz w:val="19"/>
        </w:rPr>
        <w:t>scripts/</w:t>
      </w:r>
      <w:r>
        <w:rPr>
          <w:rFonts w:ascii="Times New Roman" w:hAnsi="Times New Roman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19"/>
        </w:rPr>
        <w:t>tests/</w:t>
      </w:r>
      <w:r>
        <w:rPr>
          <w:rFonts w:ascii="Times New Roman" w:hAnsi="Times New Roman"/>
          <w:b w:val="0"/>
          <w:i w:val="0"/>
          <w:sz w:val="21"/>
        </w:rPr>
        <w:t xml:space="preserve"> — 415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tests passing.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Ledger:</w:t>
      </w:r>
      <w:r>
        <w:rPr>
          <w:rFonts w:ascii="Times New Roman" w:hAnsi="Times New Roman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19"/>
        </w:rPr>
        <w:t>EXPERIMENT_LOG.md</w:t>
      </w:r>
      <w:r>
        <w:rPr>
          <w:rFonts w:ascii="Times New Roman" w:hAnsi="Times New Roman"/>
          <w:b w:val="0"/>
          <w:i w:val="0"/>
          <w:sz w:val="21"/>
        </w:rPr>
        <w:t xml:space="preserve"> — every experiment with date, hypothesis, method, numbers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and verdict, including failures.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Artifacts:</w:t>
      </w:r>
      <w:r>
        <w:rPr>
          <w:rFonts w:ascii="Times New Roman" w:hAnsi="Times New Roman"/>
          <w:b w:val="0"/>
          <w:i w:val="0"/>
          <w:sz w:val="21"/>
        </w:rPr>
        <w:t xml:space="preserve"> datasets and checkpoints on HuggingFace Hub; corpus chunks with </w:t>
      </w:r>
      <w:r>
        <w:rPr>
          <w:rFonts w:ascii="Consolas" w:hAnsi="Consolas"/>
          <w:b w:val="0"/>
          <w:i w:val="0"/>
          <w:sz w:val="19"/>
        </w:rPr>
        <w:t>chunk_id</w:t>
      </w:r>
      <w:r>
        <w:rPr>
          <w:rFonts w:ascii="Times New Roman" w:hAnsi="Times New Roman"/>
          <w:b w:val="0"/>
          <w:i w:val="0"/>
          <w:sz w:val="21"/>
        </w:rPr>
        <w:t>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1"/>
        </w:rPr>
        <w:t>book, chapter, verse, translator, source tier.</w:t>
      </w:r>
    </w:p>
    <w:p>
      <w:pPr>
        <w:pStyle w:val="ListBullet"/>
        <w:spacing w:after="60"/>
      </w:pPr>
      <w:r>
        <w:rPr>
          <w:rFonts w:ascii="Times New Roman" w:hAnsi="Times New Roman"/>
          <w:b/>
          <w:i w:val="0"/>
          <w:sz w:val="21"/>
        </w:rPr>
        <w:t>Key scripts:</w:t>
      </w:r>
      <w:r>
        <w:rPr>
          <w:rFonts w:ascii="Times New Roman" w:hAnsi="Times New Roman"/>
          <w:b w:val="0"/>
          <w:i w:val="0"/>
          <w:sz w:val="21"/>
        </w:rPr>
        <w:t xml:space="preserve"> </w:t>
      </w:r>
      <w:r>
        <w:rPr>
          <w:rFonts w:ascii="Consolas" w:hAnsi="Consolas"/>
          <w:b w:val="0"/>
          <w:i w:val="0"/>
          <w:sz w:val="19"/>
        </w:rPr>
        <w:t>scripts/check_coverage.py</w:t>
      </w:r>
      <w:r>
        <w:rPr>
          <w:rFonts w:ascii="Times New Roman" w:hAnsi="Times New Roman"/>
          <w:b w:val="0"/>
          <w:i w:val="0"/>
          <w:sz w:val="21"/>
        </w:rPr>
        <w:t xml:space="preserve"> (the coverage measurement),</w:t>
      </w:r>
    </w:p>
    <w:p>
      <w:pPr>
        <w:jc w:val="both"/>
      </w:pPr>
      <w:r>
        <w:rPr>
          <w:rFonts w:ascii="Consolas" w:hAnsi="Consolas"/>
          <w:b w:val="0"/>
          <w:i w:val="0"/>
          <w:sz w:val="19"/>
        </w:rPr>
        <w:t>scripts/check_displacement.py</w:t>
      </w:r>
      <w:r>
        <w:rPr>
          <w:rFonts w:ascii="Times New Roman" w:hAnsi="Times New Roman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sz w:val="19"/>
        </w:rPr>
        <w:t>src/rag/corpus/chapter_split.py</w:t>
      </w:r>
      <w:r>
        <w:rPr>
          <w:rFonts w:ascii="Times New Roman" w:hAnsi="Times New Roman"/>
          <w:b w:val="0"/>
          <w:i w:val="0"/>
          <w:sz w:val="21"/>
        </w:rPr>
        <w:t xml:space="preserve"> (with its four regression tests).</w:t>
      </w:r>
    </w:p>
    <w:p>
      <w:pPr>
        <w:spacing w:before="240" w:after="80"/>
      </w:pPr>
      <w:r>
        <w:rPr>
          <w:rFonts w:ascii="Times New Roman" w:hAnsi="Times New Roman"/>
          <w:b/>
          <w:i w:val="0"/>
          <w:color w:val="1F4E79"/>
          <w:sz w:val="26"/>
        </w:rPr>
        <w:t>Appendix B — Headline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Quantity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Value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Corpus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233 passages, 6 sources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Disease cascade (PlantDoc, background-driven)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72.3%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Disease C-PD (leaf-crop, honest attention)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66.6%, macro-F1 0.652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Disease-type, crop-agnostic (cropped)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71.9%, macro-F1 0.635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Soil: type / moisture / texture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89.92% / 95.76% / 67.86%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Strategy B versus Strategy A retrieval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0.59–0.96 vs 0.01–0.04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Retrieval nDCG@5 (full vs keyword)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0.878 vs 0.515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Hit@5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1.00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Honest refusal on negatives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100%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Unfounded citations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0%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Queries with genuine textual support</w:t>
            </w:r>
          </w:p>
        </w:tc>
        <w:tc>
          <w:tcPr>
            <w:tcW w:type="dxa" w:w="504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 of 22 strong, 9 of 22 including marginal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