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0"/>
        </w:rPr>
        <w:t>NCSTC (DST) Call for Proposals 2026 — Can We Apply, and What Would It Take?</w:t>
      </w:r>
    </w:p>
    <w:p>
      <w:pPr>
        <w:spacing w:after="200"/>
        <w:jc w:val="center"/>
      </w:pPr>
      <w:r>
        <w:rPr>
          <w:rFonts w:ascii="Times New Roman" w:hAnsi="Times New Roman"/>
          <w:b w:val="0"/>
          <w:i/>
          <w:sz w:val="20"/>
        </w:rPr>
        <w:t>Prepared for Dr. Akshay Pandey  |  17 September 2026  |  Ankit Pawar, M.Tech (CSE), PDPM IIITDM Jabalpur</w:t>
      </w:r>
    </w:p>
    <w:p>
      <w:pPr>
        <w:spacing w:after="160"/>
      </w:pPr>
      <w:r>
        <w:rPr>
          <w:rFonts w:ascii="Times New Roman" w:hAnsi="Times New Roman"/>
          <w:b w:val="0"/>
          <w:i w:val="0"/>
          <w:color w:val="BBBBBB"/>
          <w:sz w:val="16"/>
        </w:rPr>
        <w:t>____________________________________________________________________________________________</w:t>
      </w:r>
    </w:p>
    <w:p>
      <w:pPr>
        <w:spacing w:after="80"/>
      </w:pPr>
      <w:r>
        <w:rPr>
          <w:rFonts w:ascii="Times New Roman" w:hAnsi="Times New Roman"/>
          <w:b/>
          <w:i w:val="0"/>
          <w:color w:val="1F4E79"/>
          <w:sz w:val="26"/>
        </w:rPr>
        <w:t>1.  Summary — what I am asking you to decide</w:t>
      </w:r>
    </w:p>
    <w:p>
      <w:pPr>
        <w:spacing w:after="120"/>
      </w:pPr>
      <w:r>
        <w:rPr>
          <w:rFonts w:ascii="Times New Roman" w:hAnsi="Times New Roman"/>
          <w:b w:val="0"/>
          <w:i w:val="0"/>
          <w:sz w:val="22"/>
        </w:rPr>
        <w:t>Sir, you forwarded the NCSTC (DST) Call for Proposals 2026 and asked how we might participate. I have read the call in full. This note sets out where we fit, what we can honestly claim, and what is needed from the Institute. It is not a proposal — I would like your decision on four points first, because three of them only you can answer.</w:t>
      </w:r>
    </w:p>
    <w:p>
      <w:pPr>
        <w:spacing w:after="120"/>
      </w:pPr>
      <w:r>
        <w:rPr>
          <w:rFonts w:ascii="Times New Roman" w:hAnsi="Times New Roman"/>
          <w:b/>
          <w:sz w:val="22"/>
        </w:rPr>
        <w:t>The deadline is 30 September 2026</w:t>
      </w:r>
      <w:r>
        <w:rPr>
          <w:rFonts w:ascii="Times New Roman" w:hAnsi="Times New Roman"/>
          <w:b w:val="0"/>
          <w:sz w:val="22"/>
        </w:rPr>
        <w:t xml:space="preserve"> — thirteen days from today. Submission is online at onlinedst.gov.in. Most of the remaining work is institutional paperwork rather than writing, so a decision within two or three days would still leave time.</w:t>
      </w:r>
    </w:p>
    <w:p>
      <w:pPr>
        <w:spacing w:after="80"/>
      </w:pPr>
      <w:r>
        <w:rPr>
          <w:rFonts w:ascii="Times New Roman" w:hAnsi="Times New Roman"/>
          <w:b/>
          <w:i w:val="0"/>
          <w:color w:val="1F4E79"/>
          <w:sz w:val="26"/>
        </w:rPr>
        <w:t>2.  What kind of funding this is</w:t>
      </w:r>
    </w:p>
    <w:p>
      <w:pPr>
        <w:spacing w:after="120"/>
      </w:pPr>
      <w:r>
        <w:rPr>
          <w:rFonts w:ascii="Times New Roman" w:hAnsi="Times New Roman"/>
          <w:b/>
          <w:sz w:val="22"/>
        </w:rPr>
        <w:t>NCSTC funds science communication, not research.</w:t>
      </w:r>
      <w:r>
        <w:rPr>
          <w:rFonts w:ascii="Times New Roman" w:hAnsi="Times New Roman"/>
          <w:b w:val="0"/>
          <w:sz w:val="22"/>
        </w:rPr>
        <w:t xml:space="preserve"> It supports taking scientific knowledge to students, communities and the public — toolkits, learning modules, demonstrations, outreach. It does not fund thesis work as such.</w:t>
      </w:r>
    </w:p>
    <w:p>
      <w:pPr>
        <w:spacing w:after="120"/>
      </w:pPr>
      <w:r>
        <w:rPr>
          <w:rFonts w:ascii="Times New Roman" w:hAnsi="Times New Roman"/>
          <w:b w:val="0"/>
          <w:i w:val="0"/>
          <w:sz w:val="22"/>
        </w:rPr>
        <w:t>This matters for how we frame the application. We cannot submit our M.Tech work as a research project. We would instead propose to take what we have already built and turn it into a teaching and outreach resource. In my reading that is an advantage rather than a limitation: most applicants propose to build something, whereas we would be proposing to disseminate something that already runs.</w:t>
      </w:r>
    </w:p>
    <w:p>
      <w:pPr>
        <w:spacing w:after="80"/>
      </w:pPr>
      <w:r>
        <w:rPr>
          <w:rFonts w:ascii="Times New Roman" w:hAnsi="Times New Roman"/>
          <w:b/>
          <w:i w:val="0"/>
          <w:color w:val="1F4E79"/>
          <w:sz w:val="26"/>
        </w:rPr>
        <w:t>3.  Recommended component</w:t>
      </w:r>
    </w:p>
    <w:p>
      <w:pPr>
        <w:spacing w:after="120"/>
      </w:pPr>
      <w:r>
        <w:rPr>
          <w:rFonts w:ascii="Times New Roman" w:hAnsi="Times New Roman"/>
          <w:b/>
          <w:sz w:val="22"/>
        </w:rPr>
        <w:t>Science and Technology Communication Tools → Value Added Learning Materials</w:t>
      </w:r>
      <w:r>
        <w:rPr>
          <w:rFonts w:ascii="Times New Roman" w:hAnsi="Times New Roman"/>
          <w:b w:val="0"/>
          <w:sz w:val="22"/>
        </w:rPr>
        <w:t>, defined in the call as: “Development of teaching-learning materials, specific toolkits and modules on application of AI in S&amp;T to augment learning skills in STEM fields.”</w:t>
      </w:r>
    </w:p>
    <w:p>
      <w:pPr>
        <w:spacing w:after="120"/>
      </w:pPr>
      <w:r>
        <w:rPr>
          <w:rFonts w:ascii="Times New Roman" w:hAnsi="Times New Roman"/>
          <w:b w:val="0"/>
          <w:i w:val="0"/>
          <w:sz w:val="22"/>
        </w:rPr>
        <w:t>This is the closest match to what we have. Two other components are plausible and I mention them so the choice is on the record:</w:t>
      </w:r>
    </w:p>
    <w:p>
      <w:pPr>
        <w:pStyle w:val="ListBullet"/>
        <w:spacing w:after="60"/>
      </w:pPr>
      <w:r>
        <w:rPr>
          <w:rFonts w:ascii="Times New Roman" w:hAnsi="Times New Roman"/>
          <w:b/>
          <w:sz w:val="22"/>
        </w:rPr>
        <w:t xml:space="preserve">Bhartiya Ganita Literacy — </w:t>
      </w:r>
      <w:r>
        <w:rPr>
          <w:rFonts w:ascii="Times New Roman" w:hAnsi="Times New Roman"/>
          <w:sz w:val="22"/>
        </w:rPr>
        <w:t>the IKS bullet asks for methods and tools to “integrate, popularise and disseminate Indian Knowledge Systems within the modern context”, which describes our work almost word for word — but that whole section is framed around Indian mathematical heritage, so it is a stretch;</w:t>
      </w:r>
    </w:p>
    <w:p>
      <w:pPr>
        <w:pStyle w:val="ListBullet"/>
        <w:spacing w:after="60"/>
      </w:pPr>
      <w:r>
        <w:rPr>
          <w:rFonts w:ascii="Times New Roman" w:hAnsi="Times New Roman"/>
          <w:b/>
          <w:sz w:val="22"/>
        </w:rPr>
        <w:t xml:space="preserve">Samvaad — </w:t>
      </w:r>
      <w:r>
        <w:rPr>
          <w:rFonts w:ascii="Times New Roman" w:hAnsi="Times New Roman"/>
          <w:sz w:val="22"/>
        </w:rPr>
        <w:t>STEM students engage with communities to identify grassroots problems, guided by faculty mentors. A natural fit for an Institute project, and it is new this year so the field may be less crowded.</w:t>
      </w:r>
    </w:p>
    <w:p>
      <w:pPr>
        <w:spacing w:after="120"/>
      </w:pPr>
      <w:r>
        <w:rPr>
          <w:rFonts w:ascii="Times New Roman" w:hAnsi="Times New Roman"/>
          <w:b w:val="0"/>
          <w:i/>
          <w:sz w:val="22"/>
        </w:rPr>
        <w:t>My recommendation is Value Added Learning Materials, with the IKS angle as the subject matter of the toolkit rather than the category we apply under. I would welcome your view.</w:t>
      </w:r>
    </w:p>
    <w:p>
      <w:pPr>
        <w:spacing w:after="80"/>
      </w:pPr>
      <w:r>
        <w:rPr>
          <w:rFonts w:ascii="Times New Roman" w:hAnsi="Times New Roman"/>
          <w:b/>
          <w:i w:val="0"/>
          <w:color w:val="1F4E79"/>
          <w:sz w:val="26"/>
        </w:rPr>
        <w:t>4.  What we would propose to do</w:t>
      </w:r>
    </w:p>
    <w:p>
      <w:pPr>
        <w:spacing w:after="120"/>
      </w:pPr>
      <w:r>
        <w:rPr>
          <w:rFonts w:ascii="Times New Roman" w:hAnsi="Times New Roman"/>
          <w:b/>
          <w:sz w:val="22"/>
        </w:rPr>
        <w:t xml:space="preserve">Working title: </w:t>
      </w:r>
      <w:r>
        <w:rPr>
          <w:rFonts w:ascii="Times New Roman" w:hAnsi="Times New Roman"/>
          <w:b w:val="0"/>
          <w:sz w:val="22"/>
        </w:rPr>
        <w:t>An AI Toolkit for Indian Agricultural Knowledge — teaching students how artificial intelligence can be grounded in classical Indian texts without distorting them.</w:t>
      </w:r>
    </w:p>
    <w:p>
      <w:pPr>
        <w:spacing w:after="120"/>
      </w:pPr>
      <w:r>
        <w:rPr>
          <w:rFonts w:ascii="Times New Roman" w:hAnsi="Times New Roman"/>
          <w:b w:val="0"/>
          <w:i w:val="0"/>
          <w:sz w:val="22"/>
        </w:rPr>
        <w:t>The teaching idea, in one sentence: students see a working system that reads classical Indian agricultural treatises, gives advice from a photograph of a diseased leaf, cites the exact verse it used — and openly refuses when the texts have no answer.</w:t>
      </w:r>
    </w:p>
    <w:p>
      <w:pPr>
        <w:spacing w:after="120"/>
      </w:pPr>
      <w:r>
        <w:rPr>
          <w:rFonts w:ascii="Times New Roman" w:hAnsi="Times New Roman"/>
          <w:b w:val="0"/>
          <w:i w:val="0"/>
          <w:sz w:val="22"/>
        </w:rPr>
        <w:t>That refusal behaviour is the pedagogical core. Students today use AI chatbots that state falsehoods with complete confidence. Our system demonstrates the alternative, and demonstrates it on Indian heritage material, where a fabricated claim would be a form of distortion of the tradition itself.</w:t>
      </w:r>
    </w:p>
    <w:p>
      <w:pPr>
        <w:spacing w:after="120"/>
      </w:pPr>
      <w:r>
        <w:rPr>
          <w:rFonts w:ascii="Times New Roman" w:hAnsi="Times New Roman"/>
          <w:b w:val="0"/>
          <w:i w:val="0"/>
          <w:sz w:val="22"/>
        </w:rPr>
        <w:t>Indicative deliverables (to be firmed up once the component is fixed):</w:t>
      </w:r>
    </w:p>
    <w:p>
      <w:pPr>
        <w:pStyle w:val="ListBullet"/>
        <w:spacing w:after="60"/>
      </w:pPr>
      <w:r>
        <w:rPr>
          <w:rFonts w:ascii="Times New Roman" w:hAnsi="Times New Roman"/>
          <w:sz w:val="22"/>
        </w:rPr>
        <w:t>a hands-on module in which students query the system, inspect the retrieved verse, and verify the citation against the printed text;</w:t>
      </w:r>
    </w:p>
    <w:p>
      <w:pPr>
        <w:pStyle w:val="ListBullet"/>
        <w:spacing w:after="60"/>
      </w:pPr>
      <w:r>
        <w:rPr>
          <w:rFonts w:ascii="Times New Roman" w:hAnsi="Times New Roman"/>
          <w:sz w:val="22"/>
        </w:rPr>
        <w:t>a workbook on grounded AI: retrieval, citation, and abstention, taught through the IKS corpus rather than through abstract examples;</w:t>
      </w:r>
    </w:p>
    <w:p>
      <w:pPr>
        <w:pStyle w:val="ListBullet"/>
        <w:spacing w:after="60"/>
      </w:pPr>
      <w:r>
        <w:rPr>
          <w:rFonts w:ascii="Times New Roman" w:hAnsi="Times New Roman"/>
          <w:sz w:val="22"/>
        </w:rPr>
        <w:t>an open, searchable digital corpus of the classical treatises, usable by other institutions;</w:t>
      </w:r>
    </w:p>
    <w:p>
      <w:pPr>
        <w:pStyle w:val="ListBullet"/>
        <w:spacing w:after="60"/>
      </w:pPr>
      <w:r>
        <w:rPr>
          <w:rFonts w:ascii="Times New Roman" w:hAnsi="Times New Roman"/>
          <w:sz w:val="22"/>
        </w:rPr>
        <w:t>outreach sessions for school- and college-level STEM students, and a demonstration for a farming community in the selected district.</w:t>
      </w:r>
    </w:p>
    <w:p>
      <w:pPr>
        <w:spacing w:after="80"/>
      </w:pPr>
      <w:r>
        <w:rPr>
          <w:rFonts w:ascii="Times New Roman" w:hAnsi="Times New Roman"/>
          <w:b/>
          <w:i w:val="0"/>
          <w:color w:val="1F4E79"/>
          <w:sz w:val="26"/>
        </w:rPr>
        <w:t>5.  What we can already show (this is our strongest card)</w:t>
      </w:r>
    </w:p>
    <w:p>
      <w:pPr>
        <w:spacing w:after="120"/>
      </w:pPr>
      <w:r>
        <w:rPr>
          <w:rFonts w:ascii="Times New Roman" w:hAnsi="Times New Roman"/>
          <w:b w:val="0"/>
          <w:i w:val="0"/>
          <w:sz w:val="22"/>
        </w:rPr>
        <w:t>The call asks for prior experience and for evidence that the work is feasible. We have a running system, not a plan:</w:t>
      </w:r>
    </w:p>
    <w:tbl>
      <w:tblPr>
        <w:tblStyle w:val="TableGrid"/>
        <w:tblW w:type="auto" w:w="0"/>
        <w:tblLook w:firstColumn="1" w:firstRow="1" w:lastColumn="0" w:lastRow="0" w:noHBand="0" w:noVBand="1" w:val="04A0"/>
      </w:tblPr>
      <w:tblGrid>
        <w:gridCol w:w="5040"/>
        <w:gridCol w:w="5040"/>
      </w:tblGrid>
      <w:tr>
        <w:tc>
          <w:tcPr>
            <w:tcW w:type="dxa" w:w="5040"/>
          </w:tcPr>
          <w:p>
            <w:pPr>
              <w:spacing w:after="40"/>
            </w:pPr>
            <w:r/>
            <w:r>
              <w:rPr>
                <w:rFonts w:ascii="Times New Roman" w:hAnsi="Times New Roman"/>
                <w:b/>
                <w:sz w:val="20"/>
              </w:rPr>
              <w:t>Component</w:t>
            </w:r>
          </w:p>
        </w:tc>
        <w:tc>
          <w:tcPr>
            <w:tcW w:type="dxa" w:w="5040"/>
          </w:tcPr>
          <w:p>
            <w:pPr>
              <w:spacing w:after="40"/>
            </w:pPr>
            <w:r/>
            <w:r>
              <w:rPr>
                <w:rFonts w:ascii="Times New Roman" w:hAnsi="Times New Roman"/>
                <w:b/>
                <w:sz w:val="20"/>
              </w:rPr>
              <w:t>Present status</w:t>
            </w:r>
          </w:p>
        </w:tc>
      </w:tr>
      <w:tr>
        <w:tc>
          <w:tcPr>
            <w:tcW w:type="dxa" w:w="5040"/>
          </w:tcPr>
          <w:p>
            <w:pPr>
              <w:spacing w:after="40"/>
            </w:pPr>
            <w:r/>
            <w:r>
              <w:rPr>
                <w:rFonts w:ascii="Times New Roman" w:hAnsi="Times New Roman"/>
                <w:b w:val="0"/>
                <w:sz w:val="20"/>
              </w:rPr>
              <w:t>Digital corpus</w:t>
            </w:r>
          </w:p>
        </w:tc>
        <w:tc>
          <w:tcPr>
            <w:tcW w:type="dxa" w:w="5040"/>
          </w:tcPr>
          <w:p>
            <w:pPr>
              <w:spacing w:after="40"/>
            </w:pPr>
            <w:r/>
            <w:r>
              <w:rPr>
                <w:rFonts w:ascii="Times New Roman" w:hAnsi="Times New Roman"/>
                <w:b w:val="0"/>
                <w:sz w:val="20"/>
              </w:rPr>
              <w:t>233 verse-level passages from five classical treatises (Vrikshayurveda, Brihat Samhita, Krishi Parashara, Upavanavinoda, Kashyapiya Krishisukti) plus a modern natural-farming manual; searchable, with metadata</w:t>
            </w:r>
          </w:p>
        </w:tc>
      </w:tr>
      <w:tr>
        <w:tc>
          <w:tcPr>
            <w:tcW w:type="dxa" w:w="5040"/>
          </w:tcPr>
          <w:p>
            <w:pPr>
              <w:spacing w:after="40"/>
            </w:pPr>
            <w:r/>
            <w:r>
              <w:rPr>
                <w:rFonts w:ascii="Times New Roman" w:hAnsi="Times New Roman"/>
                <w:b w:val="0"/>
                <w:sz w:val="20"/>
              </w:rPr>
              <w:t>Plant-disease recognition</w:t>
            </w:r>
          </w:p>
        </w:tc>
        <w:tc>
          <w:tcPr>
            <w:tcW w:type="dxa" w:w="5040"/>
          </w:tcPr>
          <w:p>
            <w:pPr>
              <w:spacing w:after="40"/>
            </w:pPr>
            <w:r/>
            <w:r>
              <w:rPr>
                <w:rFonts w:ascii="Times New Roman" w:hAnsi="Times New Roman"/>
                <w:b w:val="0"/>
                <w:sz w:val="20"/>
              </w:rPr>
              <w:t>EfficientNet-B4 cascade; retrained on leaf crops so that its attention rests on the lesion, verified by Grad-CAM visual explanation</w:t>
            </w:r>
          </w:p>
        </w:tc>
      </w:tr>
      <w:tr>
        <w:tc>
          <w:tcPr>
            <w:tcW w:type="dxa" w:w="5040"/>
          </w:tcPr>
          <w:p>
            <w:pPr>
              <w:spacing w:after="40"/>
            </w:pPr>
            <w:r/>
            <w:r>
              <w:rPr>
                <w:rFonts w:ascii="Times New Roman" w:hAnsi="Times New Roman"/>
                <w:b w:val="0"/>
                <w:sz w:val="20"/>
              </w:rPr>
              <w:t>Soil recognition</w:t>
            </w:r>
          </w:p>
        </w:tc>
        <w:tc>
          <w:tcPr>
            <w:tcW w:type="dxa" w:w="5040"/>
          </w:tcPr>
          <w:p>
            <w:pPr>
              <w:spacing w:after="40"/>
            </w:pPr>
            <w:r/>
            <w:r>
              <w:rPr>
                <w:rFonts w:ascii="Times New Roman" w:hAnsi="Times New Roman"/>
                <w:b w:val="0"/>
                <w:sz w:val="20"/>
              </w:rPr>
              <w:t>Multi-task model: soil type 89.9%, moisture 95.8%</w:t>
            </w:r>
          </w:p>
        </w:tc>
      </w:tr>
      <w:tr>
        <w:tc>
          <w:tcPr>
            <w:tcW w:type="dxa" w:w="5040"/>
          </w:tcPr>
          <w:p>
            <w:pPr>
              <w:spacing w:after="40"/>
            </w:pPr>
            <w:r/>
            <w:r>
              <w:rPr>
                <w:rFonts w:ascii="Times New Roman" w:hAnsi="Times New Roman"/>
                <w:b w:val="0"/>
                <w:sz w:val="20"/>
              </w:rPr>
              <w:t>Grounded advisory</w:t>
            </w:r>
          </w:p>
        </w:tc>
        <w:tc>
          <w:tcPr>
            <w:tcW w:type="dxa" w:w="5040"/>
          </w:tcPr>
          <w:p>
            <w:pPr>
              <w:spacing w:after="40"/>
            </w:pPr>
            <w:r/>
            <w:r>
              <w:rPr>
                <w:rFonts w:ascii="Times New Roman" w:hAnsi="Times New Roman"/>
                <w:b w:val="0"/>
                <w:sz w:val="20"/>
              </w:rPr>
              <w:t>Hybrid retrieval with re-ranking; the correct treatise is retrieved for every evaluation query; answers carry verse-level citations</w:t>
            </w:r>
          </w:p>
        </w:tc>
      </w:tr>
      <w:tr>
        <w:tc>
          <w:tcPr>
            <w:tcW w:type="dxa" w:w="5040"/>
          </w:tcPr>
          <w:p>
            <w:pPr>
              <w:spacing w:after="40"/>
            </w:pPr>
            <w:r/>
            <w:r>
              <w:rPr>
                <w:rFonts w:ascii="Times New Roman" w:hAnsi="Times New Roman"/>
                <w:b w:val="0"/>
                <w:sz w:val="20"/>
              </w:rPr>
              <w:t>Faithfulness</w:t>
            </w:r>
          </w:p>
        </w:tc>
        <w:tc>
          <w:tcPr>
            <w:tcW w:type="dxa" w:w="5040"/>
          </w:tcPr>
          <w:p>
            <w:pPr>
              <w:spacing w:after="40"/>
            </w:pPr>
            <w:r/>
            <w:r>
              <w:rPr>
                <w:rFonts w:ascii="Times New Roman" w:hAnsi="Times New Roman"/>
                <w:b w:val="0"/>
                <w:sz w:val="20"/>
              </w:rPr>
              <w:t>Zero fabricated citations across all evaluation runs; the system abstains where the texts are silent</w:t>
            </w:r>
          </w:p>
        </w:tc>
      </w:tr>
      <w:tr>
        <w:tc>
          <w:tcPr>
            <w:tcW w:type="dxa" w:w="5040"/>
          </w:tcPr>
          <w:p>
            <w:pPr>
              <w:spacing w:after="40"/>
            </w:pPr>
            <w:r/>
            <w:r>
              <w:rPr>
                <w:rFonts w:ascii="Times New Roman" w:hAnsi="Times New Roman"/>
                <w:b w:val="0"/>
                <w:sz w:val="20"/>
              </w:rPr>
              <w:t>Working prototype</w:t>
            </w:r>
          </w:p>
        </w:tc>
        <w:tc>
          <w:tcPr>
            <w:tcW w:type="dxa" w:w="5040"/>
          </w:tcPr>
          <w:p>
            <w:pPr>
              <w:spacing w:after="40"/>
            </w:pPr>
            <w:r/>
            <w:r>
              <w:rPr>
                <w:rFonts w:ascii="Times New Roman" w:hAnsi="Times New Roman"/>
                <w:b w:val="0"/>
                <w:sz w:val="20"/>
              </w:rPr>
              <w:t>End-to-end interface: leaf photo + soil photo → diagnosis → cited advice → visual explanation</w:t>
            </w:r>
          </w:p>
        </w:tc>
      </w:tr>
    </w:tbl>
    <w:p>
      <w:pPr>
        <w:spacing w:after="120"/>
      </w:pPr>
      <w:r>
        <w:rPr>
          <w:rFonts w:ascii="Times New Roman" w:hAnsi="Times New Roman"/>
          <w:b w:val="0"/>
          <w:i w:val="0"/>
          <w:sz w:val="22"/>
        </w:rPr>
      </w:r>
    </w:p>
    <w:p>
      <w:pPr>
        <w:spacing w:after="120"/>
      </w:pPr>
      <w:r>
        <w:rPr>
          <w:rFonts w:ascii="Times New Roman" w:hAnsi="Times New Roman"/>
          <w:b/>
          <w:sz w:val="22"/>
        </w:rPr>
        <w:t xml:space="preserve">We also have a measured result worth presenting publicly. </w:t>
      </w:r>
      <w:r>
        <w:rPr>
          <w:rFonts w:ascii="Times New Roman" w:hAnsi="Times New Roman"/>
          <w:b w:val="0"/>
          <w:sz w:val="22"/>
        </w:rPr>
        <w:t>We tested the system on 22 modern crop-disease descriptions and found that the classical texts can genuinely answer only a few of them — the treatises classify plant disorders by cause in Ayurvedic terms, whereas modern diagnosis classifies by the appearance of the lesion. Rather than let the system invent remedies to fill that gap, it refuses. Quantifying where Indian classical knowledge does and does not map onto modern disease categories is, I think, a contribution in its own right, and it is exactly the kind of honest finding a science-communication project should carry to students.</w:t>
      </w:r>
    </w:p>
    <w:p>
      <w:r>
        <w:br w:type="page"/>
      </w:r>
    </w:p>
    <w:p>
      <w:pPr>
        <w:spacing w:after="80"/>
      </w:pPr>
      <w:r>
        <w:rPr>
          <w:rFonts w:ascii="Times New Roman" w:hAnsi="Times New Roman"/>
          <w:b/>
          <w:i w:val="0"/>
          <w:color w:val="1F4E79"/>
          <w:sz w:val="26"/>
        </w:rPr>
        <w:t>6.  What is needed — and who must provide it</w:t>
      </w:r>
    </w:p>
    <w:p>
      <w:pPr>
        <w:spacing w:after="120"/>
      </w:pPr>
      <w:r>
        <w:rPr>
          <w:rFonts w:ascii="Times New Roman" w:hAnsi="Times New Roman"/>
          <w:b/>
          <w:sz w:val="22"/>
        </w:rPr>
        <w:t xml:space="preserve">The Principal Investigator must be a faculty member with an affiliated organisation. </w:t>
      </w:r>
      <w:r>
        <w:rPr>
          <w:rFonts w:ascii="Times New Roman" w:hAnsi="Times New Roman"/>
          <w:b w:val="0"/>
          <w:sz w:val="22"/>
        </w:rPr>
        <w:t>As an M.Tech student I cannot hold that role. If we apply, the proposal would be yours, with PDPM IIITDM Jabalpur as the proposer institution and with me contributing the technical work. The form asks for the PI's designation, organisation, PFMS Unique ID and institutional details.</w:t>
      </w:r>
    </w:p>
    <w:p>
      <w:pPr>
        <w:spacing w:after="120"/>
      </w:pPr>
      <w:r>
        <w:rPr>
          <w:rFonts w:ascii="Times New Roman" w:hAnsi="Times New Roman"/>
          <w:b w:val="0"/>
          <w:i w:val="0"/>
          <w:sz w:val="22"/>
        </w:rPr>
      </w:r>
    </w:p>
    <w:tbl>
      <w:tblPr>
        <w:tblStyle w:val="TableGrid"/>
        <w:tblW w:type="auto" w:w="0"/>
        <w:tblLook w:firstColumn="1" w:firstRow="1" w:lastColumn="0" w:lastRow="0" w:noHBand="0" w:noVBand="1" w:val="04A0"/>
      </w:tblPr>
      <w:tblGrid>
        <w:gridCol w:w="5040"/>
        <w:gridCol w:w="5040"/>
      </w:tblGrid>
      <w:tr>
        <w:tc>
          <w:tcPr>
            <w:tcW w:type="dxa" w:w="5040"/>
          </w:tcPr>
          <w:p>
            <w:pPr>
              <w:spacing w:after="40"/>
            </w:pPr>
            <w:r/>
            <w:r>
              <w:rPr>
                <w:rFonts w:ascii="Times New Roman" w:hAnsi="Times New Roman"/>
                <w:b/>
                <w:sz w:val="20"/>
              </w:rPr>
              <w:t>Required by the form</w:t>
            </w:r>
          </w:p>
        </w:tc>
        <w:tc>
          <w:tcPr>
            <w:tcW w:type="dxa" w:w="5040"/>
          </w:tcPr>
          <w:p>
            <w:pPr>
              <w:spacing w:after="40"/>
            </w:pPr>
            <w:r/>
            <w:r>
              <w:rPr>
                <w:rFonts w:ascii="Times New Roman" w:hAnsi="Times New Roman"/>
                <w:b/>
                <w:sz w:val="20"/>
              </w:rPr>
              <w:t>Who supplies it</w:t>
            </w:r>
          </w:p>
        </w:tc>
      </w:tr>
      <w:tr>
        <w:tc>
          <w:tcPr>
            <w:tcW w:type="dxa" w:w="5040"/>
          </w:tcPr>
          <w:p>
            <w:pPr>
              <w:spacing w:after="40"/>
            </w:pPr>
            <w:r/>
            <w:r>
              <w:rPr>
                <w:rFonts w:ascii="Times New Roman" w:hAnsi="Times New Roman"/>
                <w:b w:val="0"/>
                <w:sz w:val="20"/>
              </w:rPr>
              <w:t>Principal Investigator details (designation, DOB, category, contact)</w:t>
            </w:r>
          </w:p>
        </w:tc>
        <w:tc>
          <w:tcPr>
            <w:tcW w:type="dxa" w:w="5040"/>
          </w:tcPr>
          <w:p>
            <w:pPr>
              <w:spacing w:after="40"/>
            </w:pPr>
            <w:r/>
            <w:r>
              <w:rPr>
                <w:rFonts w:ascii="Times New Roman" w:hAnsi="Times New Roman"/>
                <w:b w:val="0"/>
                <w:sz w:val="20"/>
              </w:rPr>
              <w:t>Dr. Akshay Pandey</w:t>
            </w:r>
          </w:p>
        </w:tc>
      </w:tr>
      <w:tr>
        <w:tc>
          <w:tcPr>
            <w:tcW w:type="dxa" w:w="5040"/>
          </w:tcPr>
          <w:p>
            <w:pPr>
              <w:spacing w:after="40"/>
            </w:pPr>
            <w:r/>
            <w:r>
              <w:rPr>
                <w:rFonts w:ascii="Times New Roman" w:hAnsi="Times New Roman"/>
                <w:b w:val="0"/>
                <w:sz w:val="20"/>
              </w:rPr>
              <w:t>Institute details: address, website, establishment year, PFMS Unique ID, name and designation of the Head of the Institution</w:t>
            </w:r>
          </w:p>
        </w:tc>
        <w:tc>
          <w:tcPr>
            <w:tcW w:type="dxa" w:w="5040"/>
          </w:tcPr>
          <w:p>
            <w:pPr>
              <w:spacing w:after="40"/>
            </w:pPr>
            <w:r/>
            <w:r>
              <w:rPr>
                <w:rFonts w:ascii="Times New Roman" w:hAnsi="Times New Roman"/>
                <w:b w:val="0"/>
                <w:sz w:val="20"/>
              </w:rPr>
              <w:t>Institute administration / Dean R&amp;D</w:t>
            </w:r>
          </w:p>
        </w:tc>
      </w:tr>
      <w:tr>
        <w:tc>
          <w:tcPr>
            <w:tcW w:type="dxa" w:w="5040"/>
          </w:tcPr>
          <w:p>
            <w:pPr>
              <w:spacing w:after="40"/>
            </w:pPr>
            <w:r/>
            <w:r>
              <w:rPr>
                <w:rFonts w:ascii="Times New Roman" w:hAnsi="Times New Roman"/>
                <w:b w:val="0"/>
                <w:sz w:val="20"/>
              </w:rPr>
              <w:t>Prior experience in public engagement and science communication; list of ongoing and completed projects; five recent projects of a similar nature with monitoring and beneficiary-feedback mechanisms</w:t>
            </w:r>
          </w:p>
        </w:tc>
        <w:tc>
          <w:tcPr>
            <w:tcW w:type="dxa" w:w="5040"/>
          </w:tcPr>
          <w:p>
            <w:pPr>
              <w:spacing w:after="40"/>
            </w:pPr>
            <w:r/>
            <w:r>
              <w:rPr>
                <w:rFonts w:ascii="Times New Roman" w:hAnsi="Times New Roman"/>
                <w:b w:val="0"/>
                <w:sz w:val="20"/>
              </w:rPr>
              <w:t>Dr. Akshay Pandey / Department</w:t>
            </w:r>
          </w:p>
        </w:tc>
      </w:tr>
      <w:tr>
        <w:tc>
          <w:tcPr>
            <w:tcW w:type="dxa" w:w="5040"/>
          </w:tcPr>
          <w:p>
            <w:pPr>
              <w:spacing w:after="40"/>
            </w:pPr>
            <w:r/>
            <w:r>
              <w:rPr>
                <w:rFonts w:ascii="Times New Roman" w:hAnsi="Times New Roman"/>
                <w:b w:val="0"/>
                <w:sz w:val="20"/>
              </w:rPr>
              <w:t>Target area (village, block, district, state) and target group, with the basis on which they were selected and consultations held</w:t>
            </w:r>
          </w:p>
        </w:tc>
        <w:tc>
          <w:tcPr>
            <w:tcW w:type="dxa" w:w="5040"/>
          </w:tcPr>
          <w:p>
            <w:pPr>
              <w:spacing w:after="40"/>
            </w:pPr>
            <w:r/>
            <w:r>
              <w:rPr>
                <w:rFonts w:ascii="Times New Roman" w:hAnsi="Times New Roman"/>
                <w:b w:val="0"/>
                <w:sz w:val="20"/>
              </w:rPr>
              <w:t>To be decided jointly</w:t>
            </w:r>
          </w:p>
        </w:tc>
      </w:tr>
      <w:tr>
        <w:tc>
          <w:tcPr>
            <w:tcW w:type="dxa" w:w="5040"/>
          </w:tcPr>
          <w:p>
            <w:pPr>
              <w:spacing w:after="40"/>
            </w:pPr>
            <w:r/>
            <w:r>
              <w:rPr>
                <w:rFonts w:ascii="Times New Roman" w:hAnsi="Times New Roman"/>
                <w:b w:val="0"/>
                <w:sz w:val="20"/>
              </w:rPr>
              <w:t>Budget: total, recurring, non-recurring, with itemised justification</w:t>
            </w:r>
          </w:p>
        </w:tc>
        <w:tc>
          <w:tcPr>
            <w:tcW w:type="dxa" w:w="5040"/>
          </w:tcPr>
          <w:p>
            <w:pPr>
              <w:spacing w:after="40"/>
            </w:pPr>
            <w:r/>
            <w:r>
              <w:rPr>
                <w:rFonts w:ascii="Times New Roman" w:hAnsi="Times New Roman"/>
                <w:b w:val="0"/>
                <w:sz w:val="20"/>
              </w:rPr>
              <w:t>To be decided jointly</w:t>
            </w:r>
          </w:p>
        </w:tc>
      </w:tr>
      <w:tr>
        <w:tc>
          <w:tcPr>
            <w:tcW w:type="dxa" w:w="5040"/>
          </w:tcPr>
          <w:p>
            <w:pPr>
              <w:spacing w:after="40"/>
            </w:pPr>
            <w:r/>
            <w:r>
              <w:rPr>
                <w:rFonts w:ascii="Times New Roman" w:hAnsi="Times New Roman"/>
                <w:b w:val="0"/>
                <w:sz w:val="20"/>
              </w:rPr>
              <w:t>Objectives, need identification, methodology, work plan, timelines, key performance indicators, impact-assessment methodology, deliverables and sustainability</w:t>
            </w:r>
          </w:p>
        </w:tc>
        <w:tc>
          <w:tcPr>
            <w:tcW w:type="dxa" w:w="5040"/>
          </w:tcPr>
          <w:p>
            <w:pPr>
              <w:spacing w:after="40"/>
            </w:pPr>
            <w:r/>
            <w:r>
              <w:rPr>
                <w:rFonts w:ascii="Times New Roman" w:hAnsi="Times New Roman"/>
                <w:b w:val="0"/>
                <w:sz w:val="20"/>
              </w:rPr>
              <w:t>I will draft these</w:t>
            </w:r>
          </w:p>
        </w:tc>
      </w:tr>
      <w:tr>
        <w:tc>
          <w:tcPr>
            <w:tcW w:type="dxa" w:w="5040"/>
          </w:tcPr>
          <w:p>
            <w:pPr>
              <w:spacing w:after="40"/>
            </w:pPr>
            <w:r/>
            <w:r>
              <w:rPr>
                <w:rFonts w:ascii="Times New Roman" w:hAnsi="Times New Roman"/>
                <w:b w:val="0"/>
                <w:sz w:val="20"/>
              </w:rPr>
              <w:t>Infrastructure and resources already available; self-generated resources in cash and kind</w:t>
            </w:r>
          </w:p>
        </w:tc>
        <w:tc>
          <w:tcPr>
            <w:tcW w:type="dxa" w:w="5040"/>
          </w:tcPr>
          <w:p>
            <w:pPr>
              <w:spacing w:after="40"/>
            </w:pPr>
            <w:r/>
            <w:r>
              <w:rPr>
                <w:rFonts w:ascii="Times New Roman" w:hAnsi="Times New Roman"/>
                <w:b w:val="0"/>
                <w:sz w:val="20"/>
              </w:rPr>
              <w:t>Institute / Department</w:t>
            </w:r>
          </w:p>
        </w:tc>
      </w:tr>
    </w:tbl>
    <w:p>
      <w:pPr>
        <w:spacing w:after="120"/>
      </w:pPr>
      <w:r>
        <w:rPr>
          <w:rFonts w:ascii="Times New Roman" w:hAnsi="Times New Roman"/>
          <w:b w:val="0"/>
          <w:i w:val="0"/>
          <w:sz w:val="22"/>
        </w:rPr>
      </w:r>
    </w:p>
    <w:p>
      <w:pPr>
        <w:spacing w:after="80"/>
      </w:pPr>
      <w:r>
        <w:rPr>
          <w:rFonts w:ascii="Times New Roman" w:hAnsi="Times New Roman"/>
          <w:b/>
          <w:i w:val="0"/>
          <w:color w:val="1F4E79"/>
          <w:sz w:val="26"/>
        </w:rPr>
        <w:t>7.  An honest assessment of our chances</w:t>
      </w:r>
    </w:p>
    <w:p>
      <w:pPr>
        <w:pStyle w:val="ListBullet"/>
        <w:spacing w:after="60"/>
      </w:pPr>
      <w:r>
        <w:rPr>
          <w:rFonts w:ascii="Times New Roman" w:hAnsi="Times New Roman"/>
          <w:b/>
          <w:sz w:val="22"/>
        </w:rPr>
        <w:t xml:space="preserve">The main risk is track record: </w:t>
      </w:r>
      <w:r>
        <w:rPr>
          <w:rFonts w:ascii="Times New Roman" w:hAnsi="Times New Roman"/>
          <w:sz w:val="22"/>
        </w:rPr>
        <w:t>the form asks for five recent projects of a similar nature, with evidence of monitoring and beneficiary feedback. If the Department has not run science-communication or outreach grants before, this section will be thin, and it is the section most likely to weigh against us. I would rather raise this now than after we have spent two weeks writing.</w:t>
      </w:r>
    </w:p>
    <w:p>
      <w:pPr>
        <w:pStyle w:val="ListBullet"/>
        <w:spacing w:after="60"/>
      </w:pPr>
      <w:r>
        <w:rPr>
          <w:rFonts w:ascii="Times New Roman" w:hAnsi="Times New Roman"/>
          <w:b/>
          <w:sz w:val="22"/>
        </w:rPr>
        <w:t xml:space="preserve">Time: </w:t>
      </w:r>
      <w:r>
        <w:rPr>
          <w:rFonts w:ascii="Times New Roman" w:hAnsi="Times New Roman"/>
          <w:sz w:val="22"/>
        </w:rPr>
        <w:t>thirteen days is workable for the narrative sections, but the PFMS ID and institutional signatures depend on offices we do not control.</w:t>
      </w:r>
    </w:p>
    <w:p>
      <w:pPr>
        <w:pStyle w:val="ListBullet"/>
        <w:spacing w:after="60"/>
      </w:pPr>
      <w:r>
        <w:rPr>
          <w:rFonts w:ascii="Times New Roman" w:hAnsi="Times New Roman"/>
          <w:b/>
          <w:sz w:val="22"/>
        </w:rPr>
        <w:t xml:space="preserve">In our favour: </w:t>
      </w:r>
      <w:r>
        <w:rPr>
          <w:rFonts w:ascii="Times New Roman" w:hAnsi="Times New Roman"/>
          <w:sz w:val="22"/>
        </w:rPr>
        <w:t>a working prototype, a genuine IKS subject that matches national priority, a measured result about AI faithfulness, and a clear student audience.</w:t>
      </w:r>
    </w:p>
    <w:p>
      <w:pPr>
        <w:spacing w:after="120"/>
      </w:pPr>
      <w:r>
        <w:rPr>
          <w:rFonts w:ascii="Times New Roman" w:hAnsi="Times New Roman"/>
          <w:b w:val="0"/>
          <w:sz w:val="22"/>
        </w:rPr>
        <w:t>If the track-record requirement proves to be a barrier this year, an alternative is to apply jointly with a partner that has outreach experience — the form explicitly provides for a partner or collaborating institution.</w:t>
      </w:r>
    </w:p>
    <w:p>
      <w:pPr>
        <w:spacing w:after="80"/>
      </w:pPr>
      <w:r>
        <w:rPr>
          <w:rFonts w:ascii="Times New Roman" w:hAnsi="Times New Roman"/>
          <w:b/>
          <w:i w:val="0"/>
          <w:color w:val="1F4E79"/>
          <w:sz w:val="26"/>
        </w:rPr>
        <w:t>8.  Decisions I need from you</w:t>
      </w:r>
    </w:p>
    <w:p>
      <w:pPr>
        <w:pStyle w:val="ListNumber"/>
        <w:spacing w:after="60"/>
      </w:pPr>
      <w:r>
        <w:rPr>
          <w:rFonts w:ascii="Times New Roman" w:hAnsi="Times New Roman"/>
          <w:sz w:val="22"/>
        </w:rPr>
        <w:t>Do we apply this year?</w:t>
      </w:r>
    </w:p>
    <w:p>
      <w:pPr>
        <w:pStyle w:val="ListNumber"/>
        <w:spacing w:after="60"/>
      </w:pPr>
      <w:r>
        <w:rPr>
          <w:rFonts w:ascii="Times New Roman" w:hAnsi="Times New Roman"/>
          <w:sz w:val="22"/>
        </w:rPr>
        <w:t>Are you willing to be Principal Investigator, with IIITDM Jabalpur as the proposer institution?</w:t>
      </w:r>
    </w:p>
    <w:p>
      <w:pPr>
        <w:pStyle w:val="ListNumber"/>
        <w:spacing w:after="60"/>
      </w:pPr>
      <w:r>
        <w:rPr>
          <w:rFonts w:ascii="Times New Roman" w:hAnsi="Times New Roman"/>
          <w:sz w:val="22"/>
        </w:rPr>
        <w:t>Which component — Value Added Learning Materials (my recommendation), the IKS bullet under Bhartiya Ganita Literacy, or Samvaad?</w:t>
      </w:r>
    </w:p>
    <w:p>
      <w:pPr>
        <w:pStyle w:val="ListNumber"/>
        <w:spacing w:after="60"/>
      </w:pPr>
      <w:r>
        <w:rPr>
          <w:rFonts w:ascii="Times New Roman" w:hAnsi="Times New Roman"/>
          <w:sz w:val="22"/>
        </w:rPr>
        <w:t>Have you or the Department held any DST or science-communication project previously that we can list?</w:t>
      </w:r>
    </w:p>
    <w:p>
      <w:pPr>
        <w:pStyle w:val="ListNumber"/>
        <w:spacing w:after="60"/>
      </w:pPr>
      <w:r>
        <w:rPr>
          <w:rFonts w:ascii="Times New Roman" w:hAnsi="Times New Roman"/>
          <w:sz w:val="22"/>
        </w:rPr>
        <w:t>Which district or villages should we name as the target area, and what budget scale do you have in mind?</w:t>
      </w:r>
    </w:p>
    <w:p>
      <w:pPr>
        <w:spacing w:after="80"/>
      </w:pPr>
      <w:r>
        <w:rPr>
          <w:rFonts w:ascii="Times New Roman" w:hAnsi="Times New Roman"/>
          <w:b/>
          <w:i w:val="0"/>
          <w:color w:val="1F4E79"/>
          <w:sz w:val="26"/>
        </w:rPr>
        <w:t>9.  If you say yes — proposed schedule</w:t>
      </w:r>
    </w:p>
    <w:tbl>
      <w:tblPr>
        <w:tblStyle w:val="TableGrid"/>
        <w:tblW w:type="auto" w:w="0"/>
        <w:tblLook w:firstColumn="1" w:firstRow="1" w:lastColumn="0" w:lastRow="0" w:noHBand="0" w:noVBand="1" w:val="04A0"/>
      </w:tblPr>
      <w:tblGrid>
        <w:gridCol w:w="5040"/>
        <w:gridCol w:w="5040"/>
      </w:tblGrid>
      <w:tr>
        <w:tc>
          <w:tcPr>
            <w:tcW w:type="dxa" w:w="5040"/>
          </w:tcPr>
          <w:p>
            <w:pPr>
              <w:spacing w:after="40"/>
            </w:pPr>
            <w:r/>
            <w:r>
              <w:rPr>
                <w:rFonts w:ascii="Times New Roman" w:hAnsi="Times New Roman"/>
                <w:b/>
                <w:sz w:val="20"/>
              </w:rPr>
              <w:t>Dates</w:t>
            </w:r>
          </w:p>
        </w:tc>
        <w:tc>
          <w:tcPr>
            <w:tcW w:type="dxa" w:w="5040"/>
          </w:tcPr>
          <w:p>
            <w:pPr>
              <w:spacing w:after="40"/>
            </w:pPr>
            <w:r/>
            <w:r>
              <w:rPr>
                <w:rFonts w:ascii="Times New Roman" w:hAnsi="Times New Roman"/>
                <w:b/>
                <w:sz w:val="20"/>
              </w:rPr>
              <w:t>Work</w:t>
            </w:r>
          </w:p>
        </w:tc>
      </w:tr>
      <w:tr>
        <w:tc>
          <w:tcPr>
            <w:tcW w:type="dxa" w:w="5040"/>
          </w:tcPr>
          <w:p>
            <w:pPr>
              <w:spacing w:after="40"/>
            </w:pPr>
            <w:r/>
            <w:r>
              <w:rPr>
                <w:rFonts w:ascii="Times New Roman" w:hAnsi="Times New Roman"/>
                <w:b w:val="0"/>
                <w:sz w:val="20"/>
              </w:rPr>
              <w:t>18–19 Sep</w:t>
            </w:r>
          </w:p>
        </w:tc>
        <w:tc>
          <w:tcPr>
            <w:tcW w:type="dxa" w:w="5040"/>
          </w:tcPr>
          <w:p>
            <w:pPr>
              <w:spacing w:after="40"/>
            </w:pPr>
            <w:r/>
            <w:r>
              <w:rPr>
                <w:rFonts w:ascii="Times New Roman" w:hAnsi="Times New Roman"/>
                <w:b w:val="0"/>
                <w:sz w:val="20"/>
              </w:rPr>
              <w:t>Your decision on the five points above; request PFMS ID and institutional details from the administration</w:t>
            </w:r>
          </w:p>
        </w:tc>
      </w:tr>
      <w:tr>
        <w:tc>
          <w:tcPr>
            <w:tcW w:type="dxa" w:w="5040"/>
          </w:tcPr>
          <w:p>
            <w:pPr>
              <w:spacing w:after="40"/>
            </w:pPr>
            <w:r/>
            <w:r>
              <w:rPr>
                <w:rFonts w:ascii="Times New Roman" w:hAnsi="Times New Roman"/>
                <w:b w:val="0"/>
                <w:sz w:val="20"/>
              </w:rPr>
              <w:t>20–24 Sep</w:t>
            </w:r>
          </w:p>
        </w:tc>
        <w:tc>
          <w:tcPr>
            <w:tcW w:type="dxa" w:w="5040"/>
          </w:tcPr>
          <w:p>
            <w:pPr>
              <w:spacing w:after="40"/>
            </w:pPr>
            <w:r/>
            <w:r>
              <w:rPr>
                <w:rFonts w:ascii="Times New Roman" w:hAnsi="Times New Roman"/>
                <w:b w:val="0"/>
                <w:sz w:val="20"/>
              </w:rPr>
              <w:t>I draft the full proposal in the prescribed format: summary, objectives, need identification, target group, methodology, work plan, timelines, KPIs, impact assessment, deliverables</w:t>
            </w:r>
          </w:p>
        </w:tc>
      </w:tr>
      <w:tr>
        <w:tc>
          <w:tcPr>
            <w:tcW w:type="dxa" w:w="5040"/>
          </w:tcPr>
          <w:p>
            <w:pPr>
              <w:spacing w:after="40"/>
            </w:pPr>
            <w:r/>
            <w:r>
              <w:rPr>
                <w:rFonts w:ascii="Times New Roman" w:hAnsi="Times New Roman"/>
                <w:b w:val="0"/>
                <w:sz w:val="20"/>
              </w:rPr>
              <w:t>24–26 Sep</w:t>
            </w:r>
          </w:p>
        </w:tc>
        <w:tc>
          <w:tcPr>
            <w:tcW w:type="dxa" w:w="5040"/>
          </w:tcPr>
          <w:p>
            <w:pPr>
              <w:spacing w:after="40"/>
            </w:pPr>
            <w:r/>
            <w:r>
              <w:rPr>
                <w:rFonts w:ascii="Times New Roman" w:hAnsi="Times New Roman"/>
                <w:b w:val="0"/>
                <w:sz w:val="20"/>
              </w:rPr>
              <w:t>Budget preparation with itemised justification; your review</w:t>
            </w:r>
          </w:p>
        </w:tc>
      </w:tr>
      <w:tr>
        <w:tc>
          <w:tcPr>
            <w:tcW w:type="dxa" w:w="5040"/>
          </w:tcPr>
          <w:p>
            <w:pPr>
              <w:spacing w:after="40"/>
            </w:pPr>
            <w:r/>
            <w:r>
              <w:rPr>
                <w:rFonts w:ascii="Times New Roman" w:hAnsi="Times New Roman"/>
                <w:b w:val="0"/>
                <w:sz w:val="20"/>
              </w:rPr>
              <w:t>27–28 Sep</w:t>
            </w:r>
          </w:p>
        </w:tc>
        <w:tc>
          <w:tcPr>
            <w:tcW w:type="dxa" w:w="5040"/>
          </w:tcPr>
          <w:p>
            <w:pPr>
              <w:spacing w:after="40"/>
            </w:pPr>
            <w:r/>
            <w:r>
              <w:rPr>
                <w:rFonts w:ascii="Times New Roman" w:hAnsi="Times New Roman"/>
                <w:b w:val="0"/>
                <w:sz w:val="20"/>
              </w:rPr>
              <w:t>Revision, institutional signatures, supporting annexures</w:t>
            </w:r>
          </w:p>
        </w:tc>
      </w:tr>
      <w:tr>
        <w:tc>
          <w:tcPr>
            <w:tcW w:type="dxa" w:w="5040"/>
          </w:tcPr>
          <w:p>
            <w:pPr>
              <w:spacing w:after="40"/>
            </w:pPr>
            <w:r/>
            <w:r>
              <w:rPr>
                <w:rFonts w:ascii="Times New Roman" w:hAnsi="Times New Roman"/>
                <w:b w:val="0"/>
                <w:sz w:val="20"/>
              </w:rPr>
              <w:t>29 Sep</w:t>
            </w:r>
          </w:p>
        </w:tc>
        <w:tc>
          <w:tcPr>
            <w:tcW w:type="dxa" w:w="5040"/>
          </w:tcPr>
          <w:p>
            <w:pPr>
              <w:spacing w:after="40"/>
            </w:pPr>
            <w:r/>
            <w:r>
              <w:rPr>
                <w:rFonts w:ascii="Times New Roman" w:hAnsi="Times New Roman"/>
                <w:b w:val="0"/>
                <w:sz w:val="20"/>
              </w:rPr>
              <w:t>Online submission at onlinedst.gov.in, one day before the deadline</w:t>
            </w:r>
          </w:p>
        </w:tc>
      </w:tr>
    </w:tbl>
    <w:p>
      <w:pPr>
        <w:spacing w:after="120"/>
      </w:pPr>
      <w:r>
        <w:rPr>
          <w:rFonts w:ascii="Times New Roman" w:hAnsi="Times New Roman"/>
          <w:b w:val="0"/>
          <w:i w:val="0"/>
          <w:sz w:val="22"/>
        </w:rPr>
      </w:r>
    </w:p>
    <w:p>
      <w:pPr>
        <w:spacing w:after="120"/>
      </w:pPr>
      <w:r>
        <w:rPr>
          <w:rFonts w:ascii="Times New Roman" w:hAnsi="Times New Roman"/>
          <w:b w:val="0"/>
          <w:i w:val="0"/>
          <w:sz w:val="22"/>
        </w:rPr>
        <w:t>I am ready to begin drafting as soon as you confirm the component. The technical and evaluation content is already written up and can be adapted quickly to the prescribed format.</w:t>
      </w:r>
    </w:p>
    <w:p>
      <w:pPr>
        <w:spacing w:after="120"/>
      </w:pPr>
      <w:r>
        <w:rPr>
          <w:rFonts w:ascii="Times New Roman" w:hAnsi="Times New Roman"/>
          <w:b w:val="0"/>
          <w:i w:val="0"/>
          <w:sz w:val="22"/>
        </w:rPr>
      </w:r>
    </w:p>
    <w:p>
      <w:pPr>
        <w:spacing w:after="0"/>
      </w:pPr>
      <w:r>
        <w:rPr>
          <w:rFonts w:ascii="Times New Roman" w:hAnsi="Times New Roman"/>
          <w:b/>
          <w:i w:val="0"/>
          <w:sz w:val="22"/>
        </w:rPr>
        <w:t>Ankit Pawar</w:t>
      </w:r>
    </w:p>
    <w:p>
      <w:pPr>
        <w:spacing w:after="120"/>
      </w:pPr>
      <w:r>
        <w:rPr>
          <w:rFonts w:ascii="Times New Roman" w:hAnsi="Times New Roman"/>
          <w:b w:val="0"/>
          <w:i/>
          <w:sz w:val="20"/>
        </w:rPr>
        <w:t>M.Tech (Computer Science &amp; Engineering), PDPM IIITDM Jabalpur</w:t>
      </w:r>
    </w:p>
    <w:p>
      <w:r>
        <w:br w:type="page"/>
      </w:r>
    </w:p>
    <w:p>
      <w:pPr>
        <w:spacing w:after="80"/>
      </w:pPr>
      <w:r>
        <w:rPr>
          <w:rFonts w:ascii="Times New Roman" w:hAnsi="Times New Roman"/>
          <w:b/>
          <w:i w:val="0"/>
          <w:color w:val="1F4E79"/>
          <w:sz w:val="26"/>
        </w:rPr>
        <w:t>Annexure — the call in brief</w:t>
      </w:r>
    </w:p>
    <w:tbl>
      <w:tblPr>
        <w:tblStyle w:val="TableGrid"/>
        <w:tblW w:type="auto" w:w="0"/>
        <w:tblLook w:firstColumn="1" w:firstRow="1" w:lastColumn="0" w:lastRow="0" w:noHBand="0" w:noVBand="1" w:val="04A0"/>
      </w:tblPr>
      <w:tblGrid>
        <w:gridCol w:w="5040"/>
        <w:gridCol w:w="5040"/>
      </w:tblGrid>
      <w:tr>
        <w:tc>
          <w:tcPr>
            <w:tcW w:type="dxa" w:w="5040"/>
          </w:tcPr>
          <w:p>
            <w:pPr>
              <w:spacing w:after="40"/>
            </w:pPr>
            <w:r/>
            <w:r>
              <w:rPr>
                <w:rFonts w:ascii="Times New Roman" w:hAnsi="Times New Roman"/>
                <w:b/>
                <w:sz w:val="20"/>
              </w:rPr>
              <w:t>Item</w:t>
            </w:r>
          </w:p>
        </w:tc>
        <w:tc>
          <w:tcPr>
            <w:tcW w:type="dxa" w:w="5040"/>
          </w:tcPr>
          <w:p>
            <w:pPr>
              <w:spacing w:after="40"/>
            </w:pPr>
            <w:r/>
            <w:r>
              <w:rPr>
                <w:rFonts w:ascii="Times New Roman" w:hAnsi="Times New Roman"/>
                <w:b/>
                <w:sz w:val="20"/>
              </w:rPr>
              <w:t>Detail</w:t>
            </w:r>
          </w:p>
        </w:tc>
      </w:tr>
      <w:tr>
        <w:tc>
          <w:tcPr>
            <w:tcW w:type="dxa" w:w="5040"/>
          </w:tcPr>
          <w:p>
            <w:pPr>
              <w:spacing w:after="40"/>
            </w:pPr>
            <w:r/>
            <w:r>
              <w:rPr>
                <w:rFonts w:ascii="Times New Roman" w:hAnsi="Times New Roman"/>
                <w:b w:val="0"/>
                <w:sz w:val="20"/>
              </w:rPr>
              <w:t>Scheme</w:t>
            </w:r>
          </w:p>
        </w:tc>
        <w:tc>
          <w:tcPr>
            <w:tcW w:type="dxa" w:w="5040"/>
          </w:tcPr>
          <w:p>
            <w:pPr>
              <w:spacing w:after="40"/>
            </w:pPr>
            <w:r/>
            <w:r>
              <w:rPr>
                <w:rFonts w:ascii="Times New Roman" w:hAnsi="Times New Roman"/>
                <w:b w:val="0"/>
                <w:sz w:val="20"/>
              </w:rPr>
              <w:t>National Council of Science and Technology Communication (NCSTC), Department of Science and Technology, Government of India</w:t>
            </w:r>
          </w:p>
        </w:tc>
      </w:tr>
      <w:tr>
        <w:tc>
          <w:tcPr>
            <w:tcW w:type="dxa" w:w="5040"/>
          </w:tcPr>
          <w:p>
            <w:pPr>
              <w:spacing w:after="40"/>
            </w:pPr>
            <w:r/>
            <w:r>
              <w:rPr>
                <w:rFonts w:ascii="Times New Roman" w:hAnsi="Times New Roman"/>
                <w:b w:val="0"/>
                <w:sz w:val="20"/>
              </w:rPr>
              <w:t>Call</w:t>
            </w:r>
          </w:p>
        </w:tc>
        <w:tc>
          <w:tcPr>
            <w:tcW w:type="dxa" w:w="5040"/>
          </w:tcPr>
          <w:p>
            <w:pPr>
              <w:spacing w:after="40"/>
            </w:pPr>
            <w:r/>
            <w:r>
              <w:rPr>
                <w:rFonts w:ascii="Times New Roman" w:hAnsi="Times New Roman"/>
                <w:b w:val="0"/>
                <w:sz w:val="20"/>
              </w:rPr>
              <w:t>Call for Proposals 2026</w:t>
            </w:r>
          </w:p>
        </w:tc>
      </w:tr>
      <w:tr>
        <w:tc>
          <w:tcPr>
            <w:tcW w:type="dxa" w:w="5040"/>
          </w:tcPr>
          <w:p>
            <w:pPr>
              <w:spacing w:after="40"/>
            </w:pPr>
            <w:r/>
            <w:r>
              <w:rPr>
                <w:rFonts w:ascii="Times New Roman" w:hAnsi="Times New Roman"/>
                <w:b w:val="0"/>
                <w:sz w:val="20"/>
              </w:rPr>
              <w:t>Last date</w:t>
            </w:r>
          </w:p>
        </w:tc>
        <w:tc>
          <w:tcPr>
            <w:tcW w:type="dxa" w:w="5040"/>
          </w:tcPr>
          <w:p>
            <w:pPr>
              <w:spacing w:after="40"/>
            </w:pPr>
            <w:r/>
            <w:r>
              <w:rPr>
                <w:rFonts w:ascii="Times New Roman" w:hAnsi="Times New Roman"/>
                <w:b w:val="0"/>
                <w:sz w:val="20"/>
              </w:rPr>
              <w:t>30 September 2026</w:t>
            </w:r>
          </w:p>
        </w:tc>
      </w:tr>
      <w:tr>
        <w:tc>
          <w:tcPr>
            <w:tcW w:type="dxa" w:w="5040"/>
          </w:tcPr>
          <w:p>
            <w:pPr>
              <w:spacing w:after="40"/>
            </w:pPr>
            <w:r/>
            <w:r>
              <w:rPr>
                <w:rFonts w:ascii="Times New Roman" w:hAnsi="Times New Roman"/>
                <w:b w:val="0"/>
                <w:sz w:val="20"/>
              </w:rPr>
              <w:t>Submission</w:t>
            </w:r>
          </w:p>
        </w:tc>
        <w:tc>
          <w:tcPr>
            <w:tcW w:type="dxa" w:w="5040"/>
          </w:tcPr>
          <w:p>
            <w:pPr>
              <w:spacing w:after="40"/>
            </w:pPr>
            <w:r/>
            <w:r>
              <w:rPr>
                <w:rFonts w:ascii="Times New Roman" w:hAnsi="Times New Roman"/>
                <w:b w:val="0"/>
                <w:sz w:val="20"/>
              </w:rPr>
              <w:t>Online at https://onlinedst.gov.in (format from https://dst.gov.in/whatsnew/announcement)</w:t>
            </w:r>
          </w:p>
        </w:tc>
      </w:tr>
      <w:tr>
        <w:tc>
          <w:tcPr>
            <w:tcW w:type="dxa" w:w="5040"/>
          </w:tcPr>
          <w:p>
            <w:pPr>
              <w:spacing w:after="40"/>
            </w:pPr>
            <w:r/>
            <w:r>
              <w:rPr>
                <w:rFonts w:ascii="Times New Roman" w:hAnsi="Times New Roman"/>
                <w:b w:val="0"/>
                <w:sz w:val="20"/>
              </w:rPr>
              <w:t>Contact</w:t>
            </w:r>
          </w:p>
        </w:tc>
        <w:tc>
          <w:tcPr>
            <w:tcW w:type="dxa" w:w="5040"/>
          </w:tcPr>
          <w:p>
            <w:pPr>
              <w:spacing w:after="40"/>
            </w:pPr>
            <w:r/>
            <w:r>
              <w:rPr>
                <w:rFonts w:ascii="Times New Roman" w:hAnsi="Times New Roman"/>
                <w:b w:val="0"/>
                <w:sz w:val="20"/>
              </w:rPr>
              <w:t>Dr. Rashmi Sharma, Head NCSTC, Technology Bhawan, New Mehrauli Road, New Delhi — r.sharma72@nic.in, 011-29512324 Extn. 12018</w:t>
            </w:r>
          </w:p>
        </w:tc>
      </w:tr>
      <w:tr>
        <w:tc>
          <w:tcPr>
            <w:tcW w:type="dxa" w:w="5040"/>
          </w:tcPr>
          <w:p>
            <w:pPr>
              <w:spacing w:after="40"/>
            </w:pPr>
            <w:r/>
            <w:r>
              <w:rPr>
                <w:rFonts w:ascii="Times New Roman" w:hAnsi="Times New Roman"/>
                <w:b w:val="0"/>
                <w:sz w:val="20"/>
              </w:rPr>
              <w:t>Eligibility note</w:t>
            </w:r>
          </w:p>
        </w:tc>
        <w:tc>
          <w:tcPr>
            <w:tcW w:type="dxa" w:w="5040"/>
          </w:tcPr>
          <w:p>
            <w:pPr>
              <w:spacing w:after="40"/>
            </w:pPr>
            <w:r/>
            <w:r>
              <w:rPr>
                <w:rFonts w:ascii="Times New Roman" w:hAnsi="Times New Roman"/>
                <w:b w:val="0"/>
                <w:sz w:val="20"/>
              </w:rPr>
              <w:t>Industries cannot apply directly for grant-in-aid; the proposer is to be Government, Not-for-Profit or Autonomous</w:t>
            </w:r>
          </w:p>
        </w:tc>
      </w:tr>
    </w:tbl>
    <w:p>
      <w:pPr>
        <w:spacing w:after="120"/>
      </w:pPr>
      <w:r>
        <w:rPr>
          <w:rFonts w:ascii="Times New Roman" w:hAnsi="Times New Roman"/>
          <w:b w:val="0"/>
          <w:i w:val="0"/>
          <w:sz w:val="22"/>
        </w:rPr>
      </w:r>
    </w:p>
    <w:p>
      <w:pPr>
        <w:spacing w:after="120"/>
      </w:pPr>
      <w:r>
        <w:rPr>
          <w:rFonts w:ascii="Times New Roman" w:hAnsi="Times New Roman"/>
          <w:b/>
          <w:i w:val="0"/>
          <w:sz w:val="22"/>
        </w:rPr>
        <w:t>Components invited under the call:</w:t>
      </w:r>
    </w:p>
    <w:p>
      <w:pPr>
        <w:pStyle w:val="ListBullet"/>
        <w:spacing w:after="60"/>
      </w:pPr>
      <w:r>
        <w:rPr>
          <w:rFonts w:ascii="Times New Roman" w:hAnsi="Times New Roman"/>
          <w:sz w:val="22"/>
        </w:rPr>
        <w:t>Empowering STEM Students for Community Engagement and Career Exploration through Samvaad</w:t>
      </w:r>
    </w:p>
    <w:p>
      <w:pPr>
        <w:pStyle w:val="ListBullet"/>
        <w:spacing w:after="60"/>
      </w:pPr>
      <w:r>
        <w:rPr>
          <w:rFonts w:ascii="Times New Roman" w:hAnsi="Times New Roman"/>
          <w:sz w:val="22"/>
        </w:rPr>
        <w:t>Science and Technology Communication Tools — traditional scientific toys and games; advanced scientific communication tools; Value Added Learning Materials (our recommended fit)</w:t>
      </w:r>
    </w:p>
    <w:p>
      <w:pPr>
        <w:pStyle w:val="ListBullet"/>
        <w:spacing w:after="60"/>
      </w:pPr>
      <w:r>
        <w:rPr>
          <w:rFonts w:ascii="Times New Roman" w:hAnsi="Times New Roman"/>
          <w:sz w:val="22"/>
        </w:rPr>
        <w:t>Bhartiya Ganita Literacy — Sulba Sutras; Bhartiya Ganita in computing and AI; integrating and disseminating Indian Knowledge Systems</w:t>
      </w:r>
    </w:p>
    <w:p>
      <w:pPr>
        <w:pStyle w:val="ListBullet"/>
        <w:spacing w:after="60"/>
      </w:pPr>
      <w:r>
        <w:rPr>
          <w:rFonts w:ascii="Times New Roman" w:hAnsi="Times New Roman"/>
          <w:sz w:val="22"/>
        </w:rPr>
        <w:t>Children Science Congress — district, state and 33rd national level</w:t>
      </w:r>
    </w:p>
    <w:p>
      <w:pPr>
        <w:pStyle w:val="ListBullet"/>
        <w:spacing w:after="60"/>
      </w:pPr>
      <w:r>
        <w:rPr>
          <w:rFonts w:ascii="Times New Roman" w:hAnsi="Times New Roman"/>
          <w:sz w:val="22"/>
        </w:rPr>
        <w:t>SciCom for Sustainable Future — occupational hazards; health and environment; risk communication; frontier domains including AI and robotics</w:t>
      </w:r>
    </w:p>
    <w:p>
      <w:pPr>
        <w:pStyle w:val="ListBullet"/>
        <w:spacing w:after="60"/>
      </w:pPr>
      <w:r>
        <w:rPr>
          <w:rFonts w:ascii="Times New Roman" w:hAnsi="Times New Roman"/>
          <w:sz w:val="22"/>
        </w:rPr>
        <w:t>Hands-on Science Programme — science on wheels, mobile labs</w:t>
      </w:r>
    </w:p>
    <w:p>
      <w:pPr>
        <w:pStyle w:val="ListBullet"/>
        <w:spacing w:after="60"/>
      </w:pPr>
      <w:r>
        <w:rPr>
          <w:rFonts w:ascii="Times New Roman" w:hAnsi="Times New Roman"/>
          <w:sz w:val="22"/>
        </w:rPr>
        <w:t>National Science Day celebration and other innovative ideas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