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7BDD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Reproducible Strategy B Workflow: Expression-based Sex Inference and Feasibility Assessment (GSE248728)</w:t>
      </w:r>
    </w:p>
    <w:p w14:paraId="41F7DB61" w14:textId="5A3C6921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1. Aim and scope</w:t>
      </w:r>
    </w:p>
    <w:p w14:paraId="3468BF22" w14:textId="6E563779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The aim is to evaluate whether sex-differential analyses are feasible using the publicly deposited scRNA-seq data from GSE248728 (Sun et al., Immunity 2024) in the absence of explicit sex metadata in the GEO series matrix. We implement an expression-based sex inference workflow, then quantify whether each sequencing capture represents a single-sex (single-donor) sample or a mixed-sex pool. This directly determines whether statistically valid sex-differential expression analysis is possible.</w:t>
      </w:r>
    </w:p>
    <w:p w14:paraId="31795112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 Toolchain and rationale</w:t>
      </w:r>
    </w:p>
    <w:p w14:paraId="156BDD5D" w14:textId="1482C204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2.1 Data retrieval: GEOquery</w:t>
      </w:r>
    </w:p>
    <w:p w14:paraId="6617F267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Tool: GEOquery (Bioconductor)</w:t>
      </w:r>
    </w:p>
    <w:p w14:paraId="0F956F84" w14:textId="27DA0434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 provides programmatic and reproducible retrieval of GEO accessions and supplementary files, enabling the analysis to be rerun from scratch without manual downloading.</w:t>
      </w:r>
    </w:p>
    <w:p w14:paraId="2B5022A8" w14:textId="7590AAEE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getGEO(GSEMatrix = TRUE) retrieves the series matrix (sample-level metadata table).</w:t>
      </w:r>
    </w:p>
    <w:p w14:paraId="2396F754" w14:textId="75F947FA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getGEOSuppFiles() retrieves supplementary processed files (here, MTX + barcodes + features).</w:t>
      </w:r>
    </w:p>
    <w:p w14:paraId="3DFE3949" w14:textId="77777777" w:rsid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7CE2F" w14:textId="6D35A4C0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2.2 Reading matrices and metadata: Matrix, data.table</w:t>
      </w:r>
    </w:p>
    <w:p w14:paraId="033DCFE6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Tools: Matrix::readMM, data.table::fread</w:t>
      </w:r>
    </w:p>
    <w:p w14:paraId="17E4E1FE" w14:textId="26D56EDA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</w:t>
      </w:r>
    </w:p>
    <w:p w14:paraId="218C155B" w14:textId="379310A3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Matrix::readMM reads sparse Matrix Market files efficiently.</w:t>
      </w:r>
    </w:p>
    <w:p w14:paraId="161C01E1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data.table::fread reads gzipped TSV files natively on Windows (no zcat dependency), supporting reproducibility across OS.</w:t>
      </w:r>
    </w:p>
    <w:p w14:paraId="4B80C298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2A5542" w14:textId="2739C756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2.3 Single-cell preprocessing and clustering: Seurat v5</w:t>
      </w:r>
    </w:p>
    <w:p w14:paraId="0E159D78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Tool: Seurat (v5), SeuratObject</w:t>
      </w:r>
    </w:p>
    <w:p w14:paraId="6E46CBEC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 widely used, well-documented framework for standard scRNA-seq workflows (QC, normalization, HVG selection, PCA, neighbor graph, clustering, UMAP).</w:t>
      </w:r>
    </w:p>
    <w:p w14:paraId="2D0A19F1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Important v5 detail: merged objects can contain multiple assay layers; JoinLayers() is used to create a unified count layer required for downstream count aggregation.</w:t>
      </w:r>
    </w:p>
    <w:p w14:paraId="7791FA1B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252E38" w14:textId="68853DBB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2.4 Statistical modeling for DE (if needed): edgeR + limma</w:t>
      </w:r>
    </w:p>
    <w:p w14:paraId="076AE7D3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Tools: edgeR, limma</w:t>
      </w:r>
    </w:p>
    <w:p w14:paraId="2B4C3616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lastRenderedPageBreak/>
        <w:t>Rationale: pseudobulk DE for RNA-seq count data is commonly performed using TMM normalization (edgeR) and voom + linear modeling (limma), with well-studied behavior and transparent assumptions.</w:t>
      </w:r>
    </w:p>
    <w:p w14:paraId="25C3B8D2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Note: In this workflow, DE is not executed as the final aim because donor-level replicates cannot be defined reliably; however, the code can be included to show how DE would be done if donor IDs were available or if captures were pure.</w:t>
      </w:r>
    </w:p>
    <w:p w14:paraId="6096070F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B68F5" w14:textId="56FDF59A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2.5 Visualization: ggplot2</w:t>
      </w:r>
    </w:p>
    <w:p w14:paraId="47B6376D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Tool: ggplot2</w:t>
      </w:r>
    </w:p>
    <w:p w14:paraId="347921D2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 reproducible plotting with explicit code, suitable for saving publication-ready figures to file.</w:t>
      </w:r>
    </w:p>
    <w:p w14:paraId="26134B3C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9FD62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3. Parameter selection and rationale</w:t>
      </w:r>
    </w:p>
    <w:p w14:paraId="431244B3" w14:textId="7B38D8C0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3.1 QC thresholds</w:t>
      </w:r>
    </w:p>
    <w:p w14:paraId="4000DB6C" w14:textId="3B8A4FB5" w:rsidR="00114AB5" w:rsidRPr="00CD6972" w:rsidRDefault="00114AB5" w:rsidP="00CD697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Parameters (defaults used; intended to be tuned after inspecting distributions):</w:t>
      </w:r>
    </w:p>
    <w:p w14:paraId="0941BA1D" w14:textId="3275667F" w:rsidR="00114AB5" w:rsidRPr="00CD6972" w:rsidRDefault="00114AB5" w:rsidP="00CD697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nFeature_RNA &gt;= 300: removes empty droplets/low-complexity cells.</w:t>
      </w:r>
    </w:p>
    <w:p w14:paraId="0C0D0712" w14:textId="401ECC85" w:rsidR="00114AB5" w:rsidRPr="00CD6972" w:rsidRDefault="00114AB5" w:rsidP="00CD697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nFeature_RNA &lt;= 6000: removes high-complexity outliers enriched for doublets.</w:t>
      </w:r>
    </w:p>
    <w:p w14:paraId="6AD4FE0D" w14:textId="77777777" w:rsidR="00114AB5" w:rsidRPr="00CD6972" w:rsidRDefault="00114AB5" w:rsidP="00CD697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percent.mt &lt;= 20: removes cells with high mitochondrial content consistent with stress/low quality.</w:t>
      </w:r>
    </w:p>
    <w:p w14:paraId="082321A0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DB5FD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 These are conservative, commonly used initial thresholds for PBMC/HSPC-like datasets. In a fully reproducible workflow, thresholds must be justified by (i) violin/density plots and (ii) sensitivity checks (e.g., ±20% of thresholds to test stability of downstream findings).</w:t>
      </w:r>
    </w:p>
    <w:p w14:paraId="5CCB93F5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B77F6E" w14:textId="4FCDFBEA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3.2 Normalization and HVG selection</w:t>
      </w:r>
    </w:p>
    <w:p w14:paraId="7E6FB75A" w14:textId="1EE79B39" w:rsidR="00114AB5" w:rsidRPr="00CD6972" w:rsidRDefault="00114AB5" w:rsidP="00CD697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NormalizeData(method = "LogNormalize"): standard log-normalization to 10,000 scale factor.</w:t>
      </w:r>
    </w:p>
    <w:p w14:paraId="1ED9E8C4" w14:textId="77777777" w:rsidR="00114AB5" w:rsidRPr="00CD6972" w:rsidRDefault="00114AB5" w:rsidP="00CD697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FindVariableFeatures(selection.method = "vst", nfeatures = 3000)</w:t>
      </w:r>
    </w:p>
    <w:p w14:paraId="28C35E6D" w14:textId="77777777" w:rsidR="00114AB5" w:rsidRPr="00CD6972" w:rsidRDefault="00114AB5" w:rsidP="00CD697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972">
        <w:rPr>
          <w:rFonts w:ascii="Times New Roman" w:hAnsi="Times New Roman" w:cs="Times New Roman"/>
          <w:sz w:val="24"/>
          <w:szCs w:val="24"/>
        </w:rPr>
        <w:t>Rationale: vst is Seurat’s default robust HVG method; 2,000–3,000 HVGs is typical for capturing major cell-state variation without overfitting.</w:t>
      </w:r>
    </w:p>
    <w:p w14:paraId="6A0A506A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BBE407" w14:textId="77777777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3.3 Dimensionality reduction and clustering</w:t>
      </w:r>
    </w:p>
    <w:p w14:paraId="121D093C" w14:textId="77777777" w:rsidR="00482D68" w:rsidRPr="00E0356B" w:rsidRDefault="00114AB5" w:rsidP="00E0356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356B">
        <w:rPr>
          <w:rFonts w:ascii="Times New Roman" w:hAnsi="Times New Roman" w:cs="Times New Roman"/>
          <w:sz w:val="24"/>
          <w:szCs w:val="24"/>
        </w:rPr>
        <w:t>PCA: RunPCA(npcs = 50)</w:t>
      </w:r>
    </w:p>
    <w:p w14:paraId="2F07CAF6" w14:textId="3AACCC0E" w:rsidR="00114AB5" w:rsidRPr="00E0356B" w:rsidRDefault="00114AB5" w:rsidP="00E0356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356B">
        <w:rPr>
          <w:rFonts w:ascii="Times New Roman" w:hAnsi="Times New Roman" w:cs="Times New Roman"/>
          <w:sz w:val="24"/>
          <w:szCs w:val="24"/>
        </w:rPr>
        <w:t>Neighbor graph: FindNeighbors(dims = 1:30)</w:t>
      </w:r>
    </w:p>
    <w:p w14:paraId="400C7DBF" w14:textId="7EF7F598" w:rsidR="00114AB5" w:rsidRPr="00E0356B" w:rsidRDefault="00114AB5" w:rsidP="00E0356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356B">
        <w:rPr>
          <w:rFonts w:ascii="Times New Roman" w:hAnsi="Times New Roman" w:cs="Times New Roman"/>
          <w:sz w:val="24"/>
          <w:szCs w:val="24"/>
        </w:rPr>
        <w:t>Clustering: FindClusters(resolution = 0.6)</w:t>
      </w:r>
    </w:p>
    <w:p w14:paraId="652E0882" w14:textId="77777777" w:rsidR="00114AB5" w:rsidRPr="00E0356B" w:rsidRDefault="00114AB5" w:rsidP="00E0356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356B">
        <w:rPr>
          <w:rFonts w:ascii="Times New Roman" w:hAnsi="Times New Roman" w:cs="Times New Roman"/>
          <w:sz w:val="24"/>
          <w:szCs w:val="24"/>
        </w:rPr>
        <w:t>UMAP: RunUMAP(dims = 1:30)</w:t>
      </w:r>
    </w:p>
    <w:p w14:paraId="32095A5D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5C779" w14:textId="4A3A844A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</w:t>
      </w:r>
    </w:p>
    <w:p w14:paraId="32A23437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30 PCs is a conventional starting point for hematopoietic datasets; the elbow plot is saved to justify dimension choice.</w:t>
      </w:r>
    </w:p>
    <w:p w14:paraId="5F802A29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Resolution 0.6 provides moderate granularity; sensitivity can be tested (0.4–1.0).</w:t>
      </w:r>
    </w:p>
    <w:p w14:paraId="312C7F11" w14:textId="0620220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UMAP is used for visualization of clusters and QC metrics rather than as a statistical test.</w:t>
      </w:r>
    </w:p>
    <w:p w14:paraId="6FE96B35" w14:textId="4496402E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3.4 Expression-based sex inference</w:t>
      </w:r>
    </w:p>
    <w:p w14:paraId="1439F076" w14:textId="093832BF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Markers:</w:t>
      </w:r>
    </w:p>
    <w:p w14:paraId="313D160B" w14:textId="47947D0A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Female-associated: XIST</w:t>
      </w:r>
    </w:p>
    <w:p w14:paraId="42C7292E" w14:textId="48EE6208" w:rsid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Male-associated (Y-linked): RPS4Y1, DDX3Y, KDM5D, EIF1AY, USP9Y, UTY, ZFY, NLGN4Y, TMSB4Y, PRKY</w:t>
      </w:r>
    </w:p>
    <w:p w14:paraId="62D8F2D8" w14:textId="77777777" w:rsidR="00482D68" w:rsidRPr="00114AB5" w:rsidRDefault="00482D68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3B5D9" w14:textId="661BFC10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Unit of inference:</w:t>
      </w:r>
    </w:p>
    <w:p w14:paraId="39F404BB" w14:textId="5D29B5BE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Primary: cell-level sex calling (robust to pooled captures).</w:t>
      </w:r>
    </w:p>
    <w:p w14:paraId="2AA92722" w14:textId="0A2EB00A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Secondary: capture-level mixture proportions (diagnostic of pooling).</w:t>
      </w:r>
    </w:p>
    <w:p w14:paraId="1239E855" w14:textId="6F641628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Transform:</w:t>
      </w:r>
    </w:p>
    <w:p w14:paraId="6289234A" w14:textId="392F74EF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log2CPM per cell based on raw counts.</w:t>
      </w:r>
    </w:p>
    <w:p w14:paraId="3AD5CC2E" w14:textId="147954B2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Thresholds:</w:t>
      </w:r>
    </w:p>
    <w:p w14:paraId="3706D7EE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xist_hi = 2.0, xist_lo = 0.5, y_hi = 2.0, y_lo = 0.5 (log2CPM)</w:t>
      </w:r>
    </w:p>
    <w:p w14:paraId="1C96896C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Rationale:</w:t>
      </w:r>
    </w:p>
    <w:p w14:paraId="5622C468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These create a conservative “high-confidence” region for F and M and classify all uncertain cells as “Ambiguous.” This reduces false assignments due to dropout, ambient RNA, or doublets and is appropriate when sex labels are used as a diagnostic.</w:t>
      </w:r>
    </w:p>
    <w:p w14:paraId="0ED5B143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0EAFD0" w14:textId="7101F7D0" w:rsidR="00114AB5" w:rsidRPr="00482D68" w:rsidRDefault="00114AB5" w:rsidP="00114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D68">
        <w:rPr>
          <w:rFonts w:ascii="Times New Roman" w:hAnsi="Times New Roman" w:cs="Times New Roman"/>
          <w:b/>
          <w:bCs/>
          <w:sz w:val="24"/>
          <w:szCs w:val="24"/>
        </w:rPr>
        <w:t>4. Code provenance and verification</w:t>
      </w:r>
    </w:p>
    <w:p w14:paraId="077D2F73" w14:textId="54DD10B4" w:rsidR="00482D68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 xml:space="preserve">All code </w:t>
      </w:r>
      <w:r w:rsidR="00077FBD">
        <w:rPr>
          <w:rFonts w:ascii="Times New Roman" w:hAnsi="Times New Roman" w:cs="Times New Roman"/>
          <w:sz w:val="24"/>
          <w:szCs w:val="24"/>
        </w:rPr>
        <w:t>submitted</w:t>
      </w:r>
      <w:r w:rsidRPr="00114AB5">
        <w:rPr>
          <w:rFonts w:ascii="Times New Roman" w:hAnsi="Times New Roman" w:cs="Times New Roman"/>
          <w:sz w:val="24"/>
          <w:szCs w:val="24"/>
        </w:rPr>
        <w:t xml:space="preserve"> is standard R/Seurat/GEOquery code written for reproducibility. Where Seurat v5 introduces multi-layer assays, the workflow explicitly uses JoinLayers() and layer="counts" to ensure correct extraction of count data.</w:t>
      </w:r>
    </w:p>
    <w:p w14:paraId="0B12C42E" w14:textId="37530896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Verification steps are embedded in the workflow:</w:t>
      </w:r>
    </w:p>
    <w:p w14:paraId="69FCCEE2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Confirm all capture file sets exist.</w:t>
      </w:r>
    </w:p>
    <w:p w14:paraId="79C7329F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Confirm cell counts per capture.</w:t>
      </w:r>
    </w:p>
    <w:p w14:paraId="6A7C9B2B" w14:textId="77777777" w:rsidR="00114AB5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Confirm sex-marker expression patterns (XIST vs Y genes) by inferred label.</w:t>
      </w:r>
    </w:p>
    <w:p w14:paraId="2AFECAF3" w14:textId="0F44FE7F" w:rsidR="001174A3" w:rsidRPr="00114AB5" w:rsidRDefault="00114AB5" w:rsidP="00114AB5">
      <w:pPr>
        <w:jc w:val="both"/>
        <w:rPr>
          <w:rFonts w:ascii="Times New Roman" w:hAnsi="Times New Roman" w:cs="Times New Roman"/>
          <w:sz w:val="24"/>
          <w:szCs w:val="24"/>
        </w:rPr>
      </w:pPr>
      <w:r w:rsidRPr="00114AB5">
        <w:rPr>
          <w:rFonts w:ascii="Times New Roman" w:hAnsi="Times New Roman" w:cs="Times New Roman"/>
          <w:sz w:val="24"/>
          <w:szCs w:val="24"/>
        </w:rPr>
        <w:t>Confirm per-capture sex mixture proportions.</w:t>
      </w:r>
    </w:p>
    <w:sectPr w:rsidR="001174A3" w:rsidRPr="00114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FD2"/>
    <w:multiLevelType w:val="multilevel"/>
    <w:tmpl w:val="E42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6BA"/>
    <w:multiLevelType w:val="multilevel"/>
    <w:tmpl w:val="14C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070F"/>
    <w:multiLevelType w:val="multilevel"/>
    <w:tmpl w:val="D12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3E46"/>
    <w:multiLevelType w:val="hybridMultilevel"/>
    <w:tmpl w:val="A2900FB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0A3F"/>
    <w:multiLevelType w:val="multilevel"/>
    <w:tmpl w:val="A45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D5BD6"/>
    <w:multiLevelType w:val="hybridMultilevel"/>
    <w:tmpl w:val="F79CC93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23AF1"/>
    <w:multiLevelType w:val="hybridMultilevel"/>
    <w:tmpl w:val="D9F2DB3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04735"/>
    <w:multiLevelType w:val="multilevel"/>
    <w:tmpl w:val="0C8C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3401A"/>
    <w:multiLevelType w:val="multilevel"/>
    <w:tmpl w:val="E27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C4ECE"/>
    <w:multiLevelType w:val="multilevel"/>
    <w:tmpl w:val="E22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C23A3"/>
    <w:multiLevelType w:val="multilevel"/>
    <w:tmpl w:val="D69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95172"/>
    <w:multiLevelType w:val="multilevel"/>
    <w:tmpl w:val="772E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64C3B"/>
    <w:multiLevelType w:val="multilevel"/>
    <w:tmpl w:val="7D2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02AB4"/>
    <w:multiLevelType w:val="multilevel"/>
    <w:tmpl w:val="FC5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630573">
    <w:abstractNumId w:val="4"/>
  </w:num>
  <w:num w:numId="2" w16cid:durableId="1811627941">
    <w:abstractNumId w:val="0"/>
  </w:num>
  <w:num w:numId="3" w16cid:durableId="1724793582">
    <w:abstractNumId w:val="10"/>
  </w:num>
  <w:num w:numId="4" w16cid:durableId="1962031590">
    <w:abstractNumId w:val="8"/>
  </w:num>
  <w:num w:numId="5" w16cid:durableId="1731727154">
    <w:abstractNumId w:val="12"/>
  </w:num>
  <w:num w:numId="6" w16cid:durableId="1117680447">
    <w:abstractNumId w:val="2"/>
  </w:num>
  <w:num w:numId="7" w16cid:durableId="1895390219">
    <w:abstractNumId w:val="1"/>
  </w:num>
  <w:num w:numId="8" w16cid:durableId="10956678">
    <w:abstractNumId w:val="7"/>
  </w:num>
  <w:num w:numId="9" w16cid:durableId="447742384">
    <w:abstractNumId w:val="9"/>
  </w:num>
  <w:num w:numId="10" w16cid:durableId="775487773">
    <w:abstractNumId w:val="13"/>
  </w:num>
  <w:num w:numId="11" w16cid:durableId="532152493">
    <w:abstractNumId w:val="11"/>
  </w:num>
  <w:num w:numId="12" w16cid:durableId="1836529698">
    <w:abstractNumId w:val="5"/>
  </w:num>
  <w:num w:numId="13" w16cid:durableId="19018842">
    <w:abstractNumId w:val="3"/>
  </w:num>
  <w:num w:numId="14" w16cid:durableId="1576821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62"/>
    <w:rsid w:val="00077FBD"/>
    <w:rsid w:val="00114AB5"/>
    <w:rsid w:val="001174A3"/>
    <w:rsid w:val="00482D68"/>
    <w:rsid w:val="008303F0"/>
    <w:rsid w:val="00AD5900"/>
    <w:rsid w:val="00BC5E62"/>
    <w:rsid w:val="00C44BDF"/>
    <w:rsid w:val="00CD6972"/>
    <w:rsid w:val="00E0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0F25"/>
  <w15:chartTrackingRefBased/>
  <w15:docId w15:val="{8F6B95CA-1180-441A-AA5C-CAF4870F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753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Sunil Lawarde</dc:creator>
  <cp:keywords/>
  <dc:description/>
  <cp:lastModifiedBy>Ankita Sunil Lawarde</cp:lastModifiedBy>
  <cp:revision>6</cp:revision>
  <dcterms:created xsi:type="dcterms:W3CDTF">2026-02-27T10:46:00Z</dcterms:created>
  <dcterms:modified xsi:type="dcterms:W3CDTF">2026-02-27T10:51:00Z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c42ea14c-5817-4041-9e58-2d8498c34e3b</vt:lpwstr>
  </property>
</Properties>
</file>