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3 TASK REPORT</w:t>
        <w:br/>
      </w:r>
      <w:r>
        <w:rPr>
          <w:b/>
          <w:sz w:val="30"/>
        </w:rPr>
        <w:t>Unsupervised Learning and Clustering Analysis</w:t>
      </w:r>
    </w:p>
    <w:p>
      <w:pPr>
        <w:jc w:val="center"/>
      </w:pPr>
      <w:r>
        <w:t>Dataset: Iris | Algorithm: K-Means Clustering</w:t>
      </w:r>
    </w:p>
    <w:p>
      <w:pPr>
        <w:pStyle w:val="Heading1"/>
      </w:pPr>
      <w:r>
        <w:t>1. Objective</w:t>
      </w:r>
    </w:p>
    <w:p>
      <w:r>
        <w:t>Apply an unsupervised learning technique to a public dataset, discover meaningful groups, and interpret their characteristics. K-Means is used to group flower observations using measurements only.</w:t>
      </w:r>
    </w:p>
    <w:p>
      <w:pPr>
        <w:pStyle w:val="Heading1"/>
      </w:pPr>
      <w:r>
        <w:t>2. Dataset Selection</w:t>
      </w:r>
    </w:p>
    <w:p>
      <w:r>
        <w:t>The Iris dataset contains 150 observations, four numerical measurements (sepal length, sepal width, petal length, petal width), and three known species. Species labels are excluded from model training and used only after clustering to help interpret the result.</w:t>
      </w:r>
    </w:p>
    <w:p>
      <w:pPr>
        <w:pStyle w:val="Heading1"/>
      </w:pPr>
      <w:r>
        <w:t>3. Tools and Libraries</w:t>
      </w:r>
    </w:p>
    <w:p>
      <w:r>
        <w:t>Python, Pandas, Matplotlib, and Scikit-learn were used. Scikit-learn provides scaling, K-Means, PCA, and evaluation metrics.</w:t>
      </w:r>
    </w:p>
    <w:p>
      <w:pPr>
        <w:pStyle w:val="Heading1"/>
      </w:pPr>
      <w:r>
        <w:t>4. Methodology</w:t>
      </w:r>
    </w:p>
    <w:p>
      <w:r>
        <w:t>The dataset was loaded and inspected, features were standardized, candidate K values were compared with the Elbow Method and Silhouette Score, and K-Means was fitted with K=3. Cluster sizes and average measurements were summarized. PCA was used to visualize clusters in two dimensions.</w:t>
      </w:r>
    </w:p>
    <w:p>
      <w:pPr>
        <w:pStyle w:val="Heading1"/>
      </w:pPr>
      <w:r>
        <w:t>5. Preprocessing</w:t>
      </w:r>
    </w:p>
    <w:p>
      <w:r>
        <w:t>StandardScaler was applied to the four numerical features. K-Means relies on distances, so standardizing prevents variables with larger numeric scales from dominating the calculation. The standard Iris dataset has no missing values, so imputation was not required.</w:t>
      </w:r>
    </w:p>
    <w:p>
      <w:pPr>
        <w:pStyle w:val="Heading1"/>
      </w:pPr>
      <w:r>
        <w:t>6. Rationale for K-Means</w:t>
      </w:r>
    </w:p>
    <w:p>
      <w:r>
        <w:t>K-Means is a common distance-based clustering algorithm. It assigns each observation to the nearest centroid and updates centroids iteratively. It is appropriate for this introductory task because the features are numeric and cluster profiles can be summarized with means.</w:t>
      </w:r>
    </w:p>
    <w:p>
      <w:pPr>
        <w:pStyle w:val="Heading1"/>
      </w:pPr>
      <w:r>
        <w:t>7. Selecting K</w:t>
      </w:r>
    </w:p>
    <w:p>
      <w:r>
        <w:t>The Elbow Method examines how inertia decreases as K increases; a bend in the curve can indicate diminishing gains. Silhouette Score measures how close observations are to their own cluster compared with neighboring clusters. Both were examined for K=2 through K=7. K=3 was chosen for an interpretable three-group analysis; the known labels were not used to fit the model.</w:t>
      </w:r>
    </w:p>
    <w:p>
      <w:pPr>
        <w:jc w:val="center"/>
      </w:pPr>
      <w:r>
        <w:drawing>
          <wp:inline xmlns:a="http://schemas.openxmlformats.org/drawingml/2006/main" xmlns:pic="http://schemas.openxmlformats.org/drawingml/2006/picture">
            <wp:extent cx="5212080" cy="3474720"/>
            <wp:docPr id="1" name="Picture 1"/>
            <wp:cNvGraphicFramePr>
              <a:graphicFrameLocks noChangeAspect="1"/>
            </wp:cNvGraphicFramePr>
            <a:graphic>
              <a:graphicData uri="http://schemas.openxmlformats.org/drawingml/2006/picture">
                <pic:pic>
                  <pic:nvPicPr>
                    <pic:cNvPr id="0" name="elbow.png"/>
                    <pic:cNvPicPr/>
                  </pic:nvPicPr>
                  <pic:blipFill>
                    <a:blip r:embed="rId9"/>
                    <a:stretch>
                      <a:fillRect/>
                    </a:stretch>
                  </pic:blipFill>
                  <pic:spPr>
                    <a:xfrm>
                      <a:off x="0" y="0"/>
                      <a:ext cx="5212080" cy="3474720"/>
                    </a:xfrm>
                    <a:prstGeom prst="rect"/>
                  </pic:spPr>
                </pic:pic>
              </a:graphicData>
            </a:graphic>
          </wp:inline>
        </w:drawing>
      </w:r>
    </w:p>
    <w:p>
      <w:pPr>
        <w:jc w:val="center"/>
      </w:pPr>
      <w:r>
        <w:drawing>
          <wp:inline xmlns:a="http://schemas.openxmlformats.org/drawingml/2006/main" xmlns:pic="http://schemas.openxmlformats.org/drawingml/2006/picture">
            <wp:extent cx="5212080" cy="3474720"/>
            <wp:docPr id="2" name="Picture 2"/>
            <wp:cNvGraphicFramePr>
              <a:graphicFrameLocks noChangeAspect="1"/>
            </wp:cNvGraphicFramePr>
            <a:graphic>
              <a:graphicData uri="http://schemas.openxmlformats.org/drawingml/2006/picture">
                <pic:pic>
                  <pic:nvPicPr>
                    <pic:cNvPr id="0" name="silhouette.png"/>
                    <pic:cNvPicPr/>
                  </pic:nvPicPr>
                  <pic:blipFill>
                    <a:blip r:embed="rId10"/>
                    <a:stretch>
                      <a:fillRect/>
                    </a:stretch>
                  </pic:blipFill>
                  <pic:spPr>
                    <a:xfrm>
                      <a:off x="0" y="0"/>
                      <a:ext cx="5212080" cy="3474720"/>
                    </a:xfrm>
                    <a:prstGeom prst="rect"/>
                  </pic:spPr>
                </pic:pic>
              </a:graphicData>
            </a:graphic>
          </wp:inline>
        </w:drawing>
      </w:r>
    </w:p>
    <w:p>
      <w:pPr>
        <w:pStyle w:val="Heading1"/>
      </w:pPr>
      <w:r>
        <w:t>8. Model and Evaluation</w:t>
      </w:r>
    </w:p>
    <w:p>
      <w:r>
        <w:t>The final model used n_clusters=3, random_state=42, and n_init=10. The fixed random state supports reproducibility and multiple initializations reduce dependence on one starting position. The final Silhouette Score was 0.460; scores closer to 1 generally indicate stronger separation. The Adjusted Rand Index (ARI) was 0.620, calculated only as a post-training comparison with known species—not as training input.</w:t>
      </w:r>
    </w:p>
    <w:p>
      <w:pPr>
        <w:pStyle w:val="Heading1"/>
      </w:pPr>
      <w:r>
        <w:t>9. Cluster Visualization</w:t>
      </w:r>
    </w:p>
    <w:p>
      <w:r>
        <w:t>PCA projects the standardized data into two dimensions for display. K-Means itself was trained on all four standardized features, not on the two PCA components.</w:t>
      </w:r>
    </w:p>
    <w:p>
      <w:pPr>
        <w:jc w:val="center"/>
      </w:pPr>
      <w:r>
        <w:drawing>
          <wp:inline xmlns:a="http://schemas.openxmlformats.org/drawingml/2006/main" xmlns:pic="http://schemas.openxmlformats.org/drawingml/2006/picture">
            <wp:extent cx="5212080" cy="3474720"/>
            <wp:docPr id="3" name="Picture 3"/>
            <wp:cNvGraphicFramePr>
              <a:graphicFrameLocks noChangeAspect="1"/>
            </wp:cNvGraphicFramePr>
            <a:graphic>
              <a:graphicData uri="http://schemas.openxmlformats.org/drawingml/2006/picture">
                <pic:pic>
                  <pic:nvPicPr>
                    <pic:cNvPr id="0" name="pca.png"/>
                    <pic:cNvPicPr/>
                  </pic:nvPicPr>
                  <pic:blipFill>
                    <a:blip r:embed="rId11"/>
                    <a:stretch>
                      <a:fillRect/>
                    </a:stretch>
                  </pic:blipFill>
                  <pic:spPr>
                    <a:xfrm>
                      <a:off x="0" y="0"/>
                      <a:ext cx="5212080" cy="3474720"/>
                    </a:xfrm>
                    <a:prstGeom prst="rect"/>
                  </pic:spPr>
                </pic:pic>
              </a:graphicData>
            </a:graphic>
          </wp:inline>
        </w:drawing>
      </w:r>
    </w:p>
    <w:p>
      <w:r>
        <w:t>The projection shows visible group structure, with some overlap between clusters. This is expected because real measurements do not always form perfectly separated groups.</w:t>
      </w:r>
    </w:p>
    <w:p>
      <w:pPr>
        <w:pStyle w:val="Heading1"/>
      </w:pPr>
      <w:r>
        <w:t>10. Cluster Sizes and Profiles</w:t>
      </w:r>
    </w:p>
    <w:p>
      <w:r>
        <w:t>K-Means does not force groups to be equal in size. The bar chart and table below summarize the number of observations and average measurements in each cluster.</w:t>
      </w:r>
    </w:p>
    <w:p>
      <w:pPr>
        <w:jc w:val="center"/>
      </w:pPr>
      <w:r>
        <w:drawing>
          <wp:inline xmlns:a="http://schemas.openxmlformats.org/drawingml/2006/main" xmlns:pic="http://schemas.openxmlformats.org/drawingml/2006/picture">
            <wp:extent cx="4846320" cy="2907792"/>
            <wp:docPr id="4" name="Picture 4"/>
            <wp:cNvGraphicFramePr>
              <a:graphicFrameLocks noChangeAspect="1"/>
            </wp:cNvGraphicFramePr>
            <a:graphic>
              <a:graphicData uri="http://schemas.openxmlformats.org/drawingml/2006/picture">
                <pic:pic>
                  <pic:nvPicPr>
                    <pic:cNvPr id="0" name="sizes.png"/>
                    <pic:cNvPicPr/>
                  </pic:nvPicPr>
                  <pic:blipFill>
                    <a:blip r:embed="rId12"/>
                    <a:stretch>
                      <a:fillRect/>
                    </a:stretch>
                  </pic:blipFill>
                  <pic:spPr>
                    <a:xfrm>
                      <a:off x="0" y="0"/>
                      <a:ext cx="4846320" cy="2907792"/>
                    </a:xfrm>
                    <a:prstGeom prst="rect"/>
                  </pic:spPr>
                </pic:pic>
              </a:graphicData>
            </a:graphic>
          </wp:inline>
        </w:drawing>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Cluster</w:t>
            </w:r>
          </w:p>
        </w:tc>
        <w:tc>
          <w:tcPr>
            <w:tcW w:type="dxa" w:w="1656"/>
          </w:tcPr>
          <w:p>
            <w:r>
              <w:t>Sepal length</w:t>
            </w:r>
          </w:p>
        </w:tc>
        <w:tc>
          <w:tcPr>
            <w:tcW w:type="dxa" w:w="1656"/>
          </w:tcPr>
          <w:p>
            <w:r>
              <w:t>Sepal width</w:t>
            </w:r>
          </w:p>
        </w:tc>
        <w:tc>
          <w:tcPr>
            <w:tcW w:type="dxa" w:w="1656"/>
          </w:tcPr>
          <w:p>
            <w:r>
              <w:t>Petal length</w:t>
            </w:r>
          </w:p>
        </w:tc>
        <w:tc>
          <w:tcPr>
            <w:tcW w:type="dxa" w:w="1656"/>
          </w:tcPr>
          <w:p>
            <w:r>
              <w:t>Petal width</w:t>
            </w:r>
          </w:p>
        </w:tc>
        <w:tc>
          <w:tcPr>
            <w:tcW w:type="dxa" w:w="1656"/>
          </w:tcPr>
          <w:p>
            <w:r>
              <w:t>Count</w:t>
            </w:r>
          </w:p>
        </w:tc>
      </w:tr>
      <w:tr>
        <w:tc>
          <w:tcPr>
            <w:tcW w:type="dxa" w:w="1656"/>
          </w:tcPr>
          <w:p>
            <w:r>
              <w:t>1</w:t>
            </w:r>
          </w:p>
        </w:tc>
        <w:tc>
          <w:tcPr>
            <w:tcW w:type="dxa" w:w="1656"/>
          </w:tcPr>
          <w:p>
            <w:r>
              <w:t>5.80</w:t>
            </w:r>
          </w:p>
        </w:tc>
        <w:tc>
          <w:tcPr>
            <w:tcW w:type="dxa" w:w="1656"/>
          </w:tcPr>
          <w:p>
            <w:r>
              <w:t>2.67</w:t>
            </w:r>
          </w:p>
        </w:tc>
        <w:tc>
          <w:tcPr>
            <w:tcW w:type="dxa" w:w="1656"/>
          </w:tcPr>
          <w:p>
            <w:r>
              <w:t>4.37</w:t>
            </w:r>
          </w:p>
        </w:tc>
        <w:tc>
          <w:tcPr>
            <w:tcW w:type="dxa" w:w="1656"/>
          </w:tcPr>
          <w:p>
            <w:r>
              <w:t>1.41</w:t>
            </w:r>
          </w:p>
        </w:tc>
        <w:tc>
          <w:tcPr>
            <w:tcW w:type="dxa" w:w="1656"/>
          </w:tcPr>
          <w:p>
            <w:r>
              <w:t>53</w:t>
            </w:r>
          </w:p>
        </w:tc>
      </w:tr>
      <w:tr>
        <w:tc>
          <w:tcPr>
            <w:tcW w:type="dxa" w:w="1656"/>
          </w:tcPr>
          <w:p>
            <w:r>
              <w:t>2</w:t>
            </w:r>
          </w:p>
        </w:tc>
        <w:tc>
          <w:tcPr>
            <w:tcW w:type="dxa" w:w="1656"/>
          </w:tcPr>
          <w:p>
            <w:r>
              <w:t>5.01</w:t>
            </w:r>
          </w:p>
        </w:tc>
        <w:tc>
          <w:tcPr>
            <w:tcW w:type="dxa" w:w="1656"/>
          </w:tcPr>
          <w:p>
            <w:r>
              <w:t>3.43</w:t>
            </w:r>
          </w:p>
        </w:tc>
        <w:tc>
          <w:tcPr>
            <w:tcW w:type="dxa" w:w="1656"/>
          </w:tcPr>
          <w:p>
            <w:r>
              <w:t>1.46</w:t>
            </w:r>
          </w:p>
        </w:tc>
        <w:tc>
          <w:tcPr>
            <w:tcW w:type="dxa" w:w="1656"/>
          </w:tcPr>
          <w:p>
            <w:r>
              <w:t>0.25</w:t>
            </w:r>
          </w:p>
        </w:tc>
        <w:tc>
          <w:tcPr>
            <w:tcW w:type="dxa" w:w="1656"/>
          </w:tcPr>
          <w:p>
            <w:r>
              <w:t>50</w:t>
            </w:r>
          </w:p>
        </w:tc>
      </w:tr>
      <w:tr>
        <w:tc>
          <w:tcPr>
            <w:tcW w:type="dxa" w:w="1656"/>
          </w:tcPr>
          <w:p>
            <w:r>
              <w:t>3</w:t>
            </w:r>
          </w:p>
        </w:tc>
        <w:tc>
          <w:tcPr>
            <w:tcW w:type="dxa" w:w="1656"/>
          </w:tcPr>
          <w:p>
            <w:r>
              <w:t>6.78</w:t>
            </w:r>
          </w:p>
        </w:tc>
        <w:tc>
          <w:tcPr>
            <w:tcW w:type="dxa" w:w="1656"/>
          </w:tcPr>
          <w:p>
            <w:r>
              <w:t>3.10</w:t>
            </w:r>
          </w:p>
        </w:tc>
        <w:tc>
          <w:tcPr>
            <w:tcW w:type="dxa" w:w="1656"/>
          </w:tcPr>
          <w:p>
            <w:r>
              <w:t>5.51</w:t>
            </w:r>
          </w:p>
        </w:tc>
        <w:tc>
          <w:tcPr>
            <w:tcW w:type="dxa" w:w="1656"/>
          </w:tcPr>
          <w:p>
            <w:r>
              <w:t>1.97</w:t>
            </w:r>
          </w:p>
        </w:tc>
        <w:tc>
          <w:tcPr>
            <w:tcW w:type="dxa" w:w="1656"/>
          </w:tcPr>
          <w:p>
            <w:r>
              <w:t>47</w:t>
            </w:r>
          </w:p>
        </w:tc>
      </w:tr>
    </w:tbl>
    <w:p>
      <w:r>
        <w:t>The mean values show that petal length and petal width are important for separating groups. One cluster has substantially smaller petals, while the other two contain flowers with larger and more similar petal measurements.</w:t>
      </w:r>
    </w:p>
    <w:p>
      <w:pPr>
        <w:jc w:val="center"/>
      </w:pPr>
      <w:r>
        <w:drawing>
          <wp:inline xmlns:a="http://schemas.openxmlformats.org/drawingml/2006/main" xmlns:pic="http://schemas.openxmlformats.org/drawingml/2006/picture">
            <wp:extent cx="5212080" cy="3474720"/>
            <wp:docPr id="5" name="Picture 5"/>
            <wp:cNvGraphicFramePr>
              <a:graphicFrameLocks noChangeAspect="1"/>
            </wp:cNvGraphicFramePr>
            <a:graphic>
              <a:graphicData uri="http://schemas.openxmlformats.org/drawingml/2006/picture">
                <pic:pic>
                  <pic:nvPicPr>
                    <pic:cNvPr id="0" name="petals.png"/>
                    <pic:cNvPicPr/>
                  </pic:nvPicPr>
                  <pic:blipFill>
                    <a:blip r:embed="rId13"/>
                    <a:stretch>
                      <a:fillRect/>
                    </a:stretch>
                  </pic:blipFill>
                  <pic:spPr>
                    <a:xfrm>
                      <a:off x="0" y="0"/>
                      <a:ext cx="5212080" cy="3474720"/>
                    </a:xfrm>
                    <a:prstGeom prst="rect"/>
                  </pic:spPr>
                </pic:pic>
              </a:graphicData>
            </a:graphic>
          </wp:inline>
        </w:drawing>
      </w:r>
    </w:p>
    <w:p>
      <w:pPr>
        <w:pStyle w:val="Heading1"/>
      </w:pPr>
      <w:r>
        <w:t>11. Comparison with Known Species</w:t>
      </w:r>
    </w:p>
    <w:p>
      <w:r>
        <w:t>Species labels were not provided to the model. They were compared with cluster assignments only after training to understand the grouping.</w:t>
      </w:r>
    </w:p>
    <w:p>
      <w:r>
        <w:t>species  setosa  versicolor  virginica</w:t>
        <w:br/>
        <w:t xml:space="preserve">cluster                               </w:t>
        <w:br/>
        <w:t>1             0          39         14</w:t>
        <w:br/>
        <w:t>2            50           0          0</w:t>
        <w:br/>
        <w:t>3             0          11         36</w:t>
      </w:r>
    </w:p>
    <w:p>
      <w:r>
        <w:t>Cluster numbers are arbitrary identifiers and do not inherently correspond to species. The comparison indicates how strongly the data-driven groups align with the known categories, while any mixed cells reflect overlap in measurements.</w:t>
      </w:r>
    </w:p>
    <w:p>
      <w:pPr>
        <w:pStyle w:val="Heading1"/>
      </w:pPr>
      <w:r>
        <w:t>12. Cluster Interpretation</w:t>
      </w:r>
    </w:p>
    <w:p>
      <w:r>
        <w:t>Cluster profiles can be described by their average sepal and petal measurements. The cluster with the smallest petal averages represents small-petal observations; the remaining clusters represent larger-petal patterns that can overlap. These descriptions come from measured features, not from assigning biological meaning to cluster IDs.</w:t>
      </w:r>
    </w:p>
    <w:p>
      <w:pPr>
        <w:pStyle w:val="Heading1"/>
      </w:pPr>
      <w:r>
        <w:t>13. Applications</w:t>
      </w:r>
    </w:p>
    <w:p>
      <w:r>
        <w:t>Similar clustering workflows can support customer segmentation, grouping products by measurable attributes, identifying usage patterns, or exploring biological samples when labels are unavailable. Cluster outputs should be validated with domain knowledge before being used for decisions.</w:t>
      </w:r>
    </w:p>
    <w:p>
      <w:pPr>
        <w:pStyle w:val="Heading1"/>
      </w:pPr>
      <w:r>
        <w:t>14. Challenges and Solutions</w:t>
      </w:r>
    </w:p>
    <w:p>
      <w:r>
        <w:t>Choosing K was addressed by examining inertia and silhouette scores. Feature-scale differences were addressed with standardization. Four-dimensional data was displayed using PCA. Cluster IDs were interpreted through feature averages rather than assuming that cluster numbers have fixed meanings.</w:t>
      </w:r>
    </w:p>
    <w:p>
      <w:pPr>
        <w:pStyle w:val="Heading1"/>
      </w:pPr>
      <w:r>
        <w:t>15. Limitations</w:t>
      </w:r>
    </w:p>
    <w:p>
      <w:r>
        <w:t>K-Means is sensitive to feature scaling, initialization, outliers, and the chosen K. PCA is a projection and may hide some variation. Iris is a small, clean dataset, so results may not generalize to complex real-world data. Other algorithms, such as hierarchical clustering or DBSCAN, could be explored for comparison.</w:t>
      </w:r>
    </w:p>
    <w:p>
      <w:pPr>
        <w:pStyle w:val="Heading1"/>
      </w:pPr>
      <w:r>
        <w:t>16. Conclusion</w:t>
      </w:r>
    </w:p>
    <w:p>
      <w:r>
        <w:t>This project applied K-Means to the Iris dataset without using species labels during training. Standardization, Elbow and Silhouette analysis, cluster summaries, and PCA visualization were used to examine the results. The groups show meaningful differences, particularly in petal measurements, though some overlap remains. The exercise demonstrates how unsupervised learning can reveal structure in unlabeled data.</w:t>
      </w:r>
    </w:p>
    <w:p>
      <w:pPr>
        <w:pStyle w:val="Heading1"/>
      </w:pPr>
      <w:r>
        <w:t>17. References</w:t>
      </w:r>
    </w:p>
    <w:p>
      <w:r>
        <w:t>Scikit-learn documentation for the Iris dataset, K-Means, StandardScaler, PCA, Silhouette Score, and Adjusted Rand Index. Fisher, R. A. (1936), The use of multiple measurements in taxonomic problems, Annals of Eugenics.</w:t>
      </w:r>
    </w:p>
    <w:p>
      <w:pPr>
        <w:pStyle w:val="Heading1"/>
      </w:pPr>
      <w:r>
        <w:t>18. Complete Python Code</w:t>
      </w:r>
    </w:p>
    <w:p>
      <w:r>
        <w:t>import pandas as pd</w:t>
      </w:r>
    </w:p>
    <w:p>
      <w:r>
        <w:t>import matplotlib.pyplot as plt</w:t>
      </w:r>
    </w:p>
    <w:p>
      <w:r>
        <w:t>from sklearn.datasets import load_iris</w:t>
      </w:r>
    </w:p>
    <w:p>
      <w:r>
        <w:t>from sklearn.preprocessing import StandardScaler</w:t>
      </w:r>
    </w:p>
    <w:p>
      <w:r>
        <w:t>from sklearn.cluster import KMeans</w:t>
      </w:r>
    </w:p>
    <w:p>
      <w:r>
        <w:t>from sklearn.metrics import silhouette_score, adjusted_rand_score</w:t>
      </w:r>
    </w:p>
    <w:p>
      <w:r>
        <w:t>from sklearn.decomposition import PCA</w:t>
      </w:r>
    </w:p>
    <w:p>
      <w:r>
        <w:t xml:space="preserve"> </w:t>
      </w:r>
    </w:p>
    <w:p>
      <w:r>
        <w:t>iris = load_iris()</w:t>
      </w:r>
    </w:p>
    <w:p>
      <w:r>
        <w:t>X = pd.DataFrame(iris.data, columns=iris.feature_names)</w:t>
      </w:r>
    </w:p>
    <w:p>
      <w:r>
        <w:t>y = iris.target                         # Used only after clustering for comparison</w:t>
      </w:r>
    </w:p>
    <w:p>
      <w:r>
        <w:t>Z = StandardScaler().fit_transform(X)   # Scale features for distance calculation</w:t>
      </w:r>
    </w:p>
    <w:p>
      <w:r>
        <w:t xml:space="preserve"> </w:t>
      </w:r>
    </w:p>
    <w:p>
      <w:r>
        <w:t>inertia, scores = [], []</w:t>
      </w:r>
    </w:p>
    <w:p>
      <w:r>
        <w:t>for k in range(2, 8):</w:t>
      </w:r>
    </w:p>
    <w:p>
      <w:r>
        <w:t xml:space="preserve">    model = KMeans(n_clusters=k, random_state=42, n_init=10)</w:t>
      </w:r>
    </w:p>
    <w:p>
      <w:r>
        <w:t xml:space="preserve">    labels = model.fit_predict(Z)</w:t>
      </w:r>
    </w:p>
    <w:p>
      <w:r>
        <w:t xml:space="preserve">    inertia.append(model.inertia_)</w:t>
      </w:r>
    </w:p>
    <w:p>
      <w:r>
        <w:t xml:space="preserve">    scores.append(silhouette_score(Z, labels))</w:t>
      </w:r>
    </w:p>
    <w:p>
      <w:r>
        <w:t xml:space="preserve"> </w:t>
      </w:r>
    </w:p>
    <w:p>
      <w:r>
        <w:t>plt.plot(range(2, 8), inertia, marker="o")</w:t>
      </w:r>
    </w:p>
    <w:p>
      <w:r>
        <w:t>plt.title("Elbow Method"); plt.xlabel("K"); plt.ylabel("Inertia"); plt.show()</w:t>
      </w:r>
    </w:p>
    <w:p>
      <w:r>
        <w:t>plt.plot(range(2, 8), scores, marker="o")</w:t>
      </w:r>
    </w:p>
    <w:p>
      <w:r>
        <w:t>plt.title("Silhouette Scores"); plt.xlabel("K"); plt.ylabel("Score"); plt.show()</w:t>
      </w:r>
    </w:p>
    <w:p>
      <w:r>
        <w:t xml:space="preserve"> </w:t>
      </w:r>
    </w:p>
    <w:p>
      <w:r>
        <w:t>model = KMeans(n_clusters=3, random_state=42, n_init=10)</w:t>
      </w:r>
    </w:p>
    <w:p>
      <w:r>
        <w:t>clusters = model.fit_predict(Z)</w:t>
      </w:r>
    </w:p>
    <w:p>
      <w:r>
        <w:t>print("Silhouette Score:", silhouette_score(Z, clusters))</w:t>
      </w:r>
    </w:p>
    <w:p>
      <w:r>
        <w:t>print("Adjusted Rand Index:", adjusted_rand_score(y, clusters))</w:t>
      </w:r>
    </w:p>
    <w:p>
      <w:r>
        <w:t xml:space="preserve"> </w:t>
      </w:r>
    </w:p>
    <w:p>
      <w:r>
        <w:t># PCA is only for plotting; model used all four features</w:t>
      </w:r>
    </w:p>
    <w:p>
      <w:r>
        <w:t>points = PCA(n_components=2).fit_transform(Z)</w:t>
      </w:r>
    </w:p>
    <w:p>
      <w:r>
        <w:t>plt.scatter(points[:, 0], points[:, 1], c=clusters, s=35)</w:t>
      </w:r>
    </w:p>
    <w:p>
      <w:r>
        <w:t>plt.title("K-Means Clusters (PCA)"); plt.xlabel("PC1"); plt.ylabel("PC2"); plt.show()</w:t>
      </w:r>
    </w:p>
    <w:p>
      <w:r>
        <w:t xml:space="preserve"> </w:t>
      </w:r>
    </w:p>
    <w:p>
      <w:r>
        <w:t>result = X.copy()</w:t>
      </w:r>
    </w:p>
    <w:p>
      <w:r>
        <w:t>result["cluster"] = clusters + 1</w:t>
      </w:r>
    </w:p>
    <w:p>
      <w:r>
        <w:t>print(result.groupby("cluster").mean())</w:t>
      </w:r>
    </w:p>
    <w:p>
      <w:r>
        <w:t>print(result["cluster"].value_counts().sort_index())</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