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319D" w14:textId="4BEF3746" w:rsidR="0050051D" w:rsidRPr="0050051D" w:rsidRDefault="0050051D" w:rsidP="0050051D">
      <w:pPr>
        <w:jc w:val="center"/>
        <w:rPr>
          <w:rFonts w:ascii="Segoe UI Semibold" w:hAnsi="Segoe UI Semibold" w:cs="Segoe UI Semibold"/>
          <w:b/>
          <w:bCs/>
          <w:sz w:val="40"/>
          <w:szCs w:val="40"/>
          <w:u w:val="single"/>
        </w:rPr>
      </w:pPr>
      <w:r w:rsidRPr="0050051D">
        <w:rPr>
          <w:rFonts w:ascii="Segoe UI Semibold" w:hAnsi="Segoe UI Semibold" w:cs="Segoe UI Semibold"/>
          <w:b/>
          <w:bCs/>
          <w:sz w:val="40"/>
          <w:szCs w:val="40"/>
          <w:u w:val="single"/>
        </w:rPr>
        <w:t>Sales Trends Analysis Report</w:t>
      </w:r>
    </w:p>
    <w:p w14:paraId="6A699A7A" w14:textId="77777777" w:rsidR="0050051D" w:rsidRDefault="0050051D" w:rsidP="0050051D">
      <w:pPr>
        <w:rPr>
          <w:sz w:val="28"/>
          <w:szCs w:val="28"/>
        </w:rPr>
      </w:pPr>
    </w:p>
    <w:p w14:paraId="3438DF65" w14:textId="0F3B20E5" w:rsidR="0050051D" w:rsidRPr="0050051D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50051D">
        <w:rPr>
          <w:rFonts w:ascii="Segoe UI" w:hAnsi="Segoe UI" w:cs="Segoe UI"/>
          <w:b/>
          <w:bCs/>
          <w:sz w:val="32"/>
          <w:szCs w:val="32"/>
          <w:u w:val="single"/>
        </w:rPr>
        <w:t>Introduction</w:t>
      </w:r>
    </w:p>
    <w:p w14:paraId="77BC1012" w14:textId="6F496F70" w:rsidR="0050051D" w:rsidRPr="00E01200" w:rsidRDefault="0050051D" w:rsidP="0050051D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This report presents a comprehensive analysis of the e-commerce sales dataset to identify key business trends, product performance, customer purchasing behavio</w:t>
      </w:r>
      <w:r w:rsidRPr="00E01200">
        <w:rPr>
          <w:rFonts w:ascii="Segoe UI" w:hAnsi="Segoe UI" w:cs="Segoe UI"/>
        </w:rPr>
        <w:t>u</w:t>
      </w:r>
      <w:r w:rsidRPr="00E01200">
        <w:rPr>
          <w:rFonts w:ascii="Segoe UI" w:hAnsi="Segoe UI" w:cs="Segoe UI"/>
        </w:rPr>
        <w:t>r, and regional sales patterns. The analysis focuses on sales trends, profitability, category performance, and geographic insights to support data-driven business decision-making.</w:t>
      </w:r>
    </w:p>
    <w:p w14:paraId="44B5CE39" w14:textId="77777777" w:rsidR="0050051D" w:rsidRPr="0050051D" w:rsidRDefault="0050051D" w:rsidP="0050051D">
      <w:pPr>
        <w:rPr>
          <w:rFonts w:ascii="Segoe UI" w:hAnsi="Segoe UI" w:cs="Segoe UI"/>
          <w:sz w:val="28"/>
          <w:szCs w:val="28"/>
        </w:rPr>
      </w:pPr>
    </w:p>
    <w:p w14:paraId="019BDDB8" w14:textId="411E5BD5" w:rsidR="0050051D" w:rsidRPr="0050051D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50051D">
        <w:rPr>
          <w:rFonts w:ascii="Segoe UI" w:hAnsi="Segoe UI" w:cs="Segoe UI"/>
          <w:b/>
          <w:bCs/>
          <w:sz w:val="32"/>
          <w:szCs w:val="32"/>
          <w:u w:val="single"/>
        </w:rPr>
        <w:t>Sales Trends Analysis</w:t>
      </w:r>
    </w:p>
    <w:p w14:paraId="3D503E6C" w14:textId="01817BEF" w:rsidR="004F6C07" w:rsidRPr="0050051D" w:rsidRDefault="004F6C07" w:rsidP="004F6C07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Yearly</w:t>
      </w:r>
      <w:r w:rsidRPr="0050051D">
        <w:rPr>
          <w:rFonts w:ascii="Segoe UI" w:hAnsi="Segoe UI" w:cs="Segoe UI"/>
          <w:b/>
          <w:bCs/>
          <w:sz w:val="28"/>
          <w:szCs w:val="28"/>
        </w:rPr>
        <w:t xml:space="preserve"> Sales Trends</w:t>
      </w:r>
    </w:p>
    <w:p w14:paraId="6DED98B3" w14:textId="0A658E5B" w:rsidR="004F6C07" w:rsidRPr="00E01200" w:rsidRDefault="004F6C07" w:rsidP="004F6C07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The yearly sales analysis shows an overall upward trend in business performance over time.</w:t>
      </w:r>
    </w:p>
    <w:p w14:paraId="7F22D087" w14:textId="77777777" w:rsidR="004F6C07" w:rsidRPr="00E01200" w:rsidRDefault="004F6C07" w:rsidP="004F6C07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Year-wise Sales:</w:t>
      </w:r>
    </w:p>
    <w:p w14:paraId="19013688" w14:textId="28AE907D" w:rsidR="004F6C07" w:rsidRPr="00E01200" w:rsidRDefault="004F6C07" w:rsidP="004F6C07">
      <w:pPr>
        <w:pStyle w:val="ListParagraph"/>
        <w:numPr>
          <w:ilvl w:val="0"/>
          <w:numId w:val="22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2014</w:t>
      </w:r>
      <w:r w:rsidRPr="00E01200">
        <w:rPr>
          <w:rFonts w:ascii="Segoe UI" w:hAnsi="Segoe UI" w:cs="Segoe UI"/>
        </w:rPr>
        <w:t xml:space="preserve">- </w:t>
      </w:r>
      <w:r w:rsidRPr="00E01200">
        <w:rPr>
          <w:rFonts w:ascii="Segoe UI" w:hAnsi="Segoe UI" w:cs="Segoe UI"/>
        </w:rPr>
        <w:t>484,247.50</w:t>
      </w:r>
    </w:p>
    <w:p w14:paraId="5E95CBC2" w14:textId="07192F0C" w:rsidR="004F6C07" w:rsidRPr="00E01200" w:rsidRDefault="004F6C07" w:rsidP="004F6C07">
      <w:pPr>
        <w:pStyle w:val="ListParagraph"/>
        <w:numPr>
          <w:ilvl w:val="0"/>
          <w:numId w:val="22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2015</w:t>
      </w:r>
      <w:r w:rsidRPr="00E01200">
        <w:rPr>
          <w:rFonts w:ascii="Segoe UI" w:hAnsi="Segoe UI" w:cs="Segoe UI"/>
        </w:rPr>
        <w:t>-</w:t>
      </w:r>
      <w:r w:rsidRPr="00E01200">
        <w:rPr>
          <w:rFonts w:ascii="Segoe UI" w:hAnsi="Segoe UI" w:cs="Segoe UI"/>
        </w:rPr>
        <w:t xml:space="preserve"> 470,532.51</w:t>
      </w:r>
    </w:p>
    <w:p w14:paraId="33B6AED7" w14:textId="40C66E9D" w:rsidR="004F6C07" w:rsidRPr="00E01200" w:rsidRDefault="004F6C07" w:rsidP="004F6C07">
      <w:pPr>
        <w:pStyle w:val="ListParagraph"/>
        <w:numPr>
          <w:ilvl w:val="0"/>
          <w:numId w:val="22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2016</w:t>
      </w:r>
      <w:r w:rsidRPr="00E01200">
        <w:rPr>
          <w:rFonts w:ascii="Segoe UI" w:hAnsi="Segoe UI" w:cs="Segoe UI"/>
        </w:rPr>
        <w:t>-</w:t>
      </w:r>
      <w:r w:rsidRPr="00E01200">
        <w:rPr>
          <w:rFonts w:ascii="Segoe UI" w:hAnsi="Segoe UI" w:cs="Segoe UI"/>
        </w:rPr>
        <w:t xml:space="preserve"> 609,205.60</w:t>
      </w:r>
    </w:p>
    <w:p w14:paraId="025E2E06" w14:textId="37162D2E" w:rsidR="004F6C07" w:rsidRPr="00E01200" w:rsidRDefault="004F6C07" w:rsidP="004F6C07">
      <w:pPr>
        <w:pStyle w:val="ListParagraph"/>
        <w:numPr>
          <w:ilvl w:val="0"/>
          <w:numId w:val="22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2017</w:t>
      </w:r>
      <w:r w:rsidRPr="00E01200">
        <w:rPr>
          <w:rFonts w:ascii="Segoe UI" w:hAnsi="Segoe UI" w:cs="Segoe UI"/>
        </w:rPr>
        <w:t>-</w:t>
      </w:r>
      <w:r w:rsidRPr="00E01200">
        <w:rPr>
          <w:rFonts w:ascii="Segoe UI" w:hAnsi="Segoe UI" w:cs="Segoe UI"/>
        </w:rPr>
        <w:t xml:space="preserve"> 733,215.26</w:t>
      </w:r>
    </w:p>
    <w:p w14:paraId="0EF3F2A0" w14:textId="77777777" w:rsidR="004F6C07" w:rsidRDefault="004F6C07" w:rsidP="004F6C07">
      <w:pPr>
        <w:rPr>
          <w:rFonts w:ascii="Segoe UI" w:hAnsi="Segoe UI" w:cs="Segoe UI"/>
          <w:sz w:val="24"/>
          <w:szCs w:val="24"/>
        </w:rPr>
      </w:pPr>
    </w:p>
    <w:p w14:paraId="338ECBE5" w14:textId="7C2323F0" w:rsidR="004F6C07" w:rsidRPr="00E01200" w:rsidRDefault="004F6C07" w:rsidP="004F6C07">
      <w:pPr>
        <w:rPr>
          <w:rFonts w:ascii="Segoe UI" w:hAnsi="Segoe UI" w:cs="Segoe UI"/>
          <w:b/>
          <w:bCs/>
          <w:sz w:val="28"/>
          <w:szCs w:val="28"/>
        </w:rPr>
      </w:pPr>
      <w:r w:rsidRPr="004F6C07">
        <w:rPr>
          <w:rFonts w:ascii="Segoe UI" w:hAnsi="Segoe UI" w:cs="Segoe UI"/>
          <w:b/>
          <w:bCs/>
          <w:sz w:val="28"/>
          <w:szCs w:val="28"/>
        </w:rPr>
        <w:t>Key Insights</w:t>
      </w:r>
      <w:r w:rsidR="00E01200"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                            </w:t>
      </w:r>
      <w:r w:rsidRPr="00E01200">
        <w:rPr>
          <w:rFonts w:ascii="Segoe UI" w:hAnsi="Segoe UI" w:cs="Segoe UI"/>
        </w:rPr>
        <w:t>Sales experienced a slight decline in 2015 compared to 2014.</w:t>
      </w:r>
    </w:p>
    <w:p w14:paraId="0830D6DA" w14:textId="681E783C" w:rsidR="004F6C07" w:rsidRPr="00E01200" w:rsidRDefault="00E01200" w:rsidP="004F6C07">
      <w:pPr>
        <w:rPr>
          <w:rFonts w:ascii="Segoe UI" w:hAnsi="Segoe UI" w:cs="Segoe UI"/>
        </w:rPr>
      </w:pPr>
      <w:r>
        <w:rPr>
          <w:rFonts w:ascii="Segoe UI" w:hAnsi="Segoe UI" w:cs="Segoe U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A603B6" wp14:editId="354ECF97">
            <wp:simplePos x="0" y="0"/>
            <wp:positionH relativeFrom="margin">
              <wp:posOffset>1013460</wp:posOffset>
            </wp:positionH>
            <wp:positionV relativeFrom="paragraph">
              <wp:posOffset>525780</wp:posOffset>
            </wp:positionV>
            <wp:extent cx="3589020" cy="2741499"/>
            <wp:effectExtent l="0" t="0" r="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t="5851" r="5585"/>
                    <a:stretch/>
                  </pic:blipFill>
                  <pic:spPr bwMode="auto">
                    <a:xfrm>
                      <a:off x="0" y="0"/>
                      <a:ext cx="3589020" cy="274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C07" w:rsidRPr="00E01200">
        <w:rPr>
          <w:rFonts w:ascii="Segoe UI" w:hAnsi="Segoe UI" w:cs="Segoe UI"/>
        </w:rPr>
        <w:t>Significant growth was observed from 2016 onward, indicating improved business performance and increasing customer demand.</w:t>
      </w:r>
    </w:p>
    <w:p w14:paraId="54AF27AF" w14:textId="1E13F381" w:rsidR="004F6C07" w:rsidRPr="00E01200" w:rsidRDefault="004F6C07" w:rsidP="004F6C07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lastRenderedPageBreak/>
        <w:t>2017 recorded the highest sales, making it the best-performing year in the dataset.</w:t>
      </w:r>
    </w:p>
    <w:p w14:paraId="4165245F" w14:textId="42C577D8" w:rsidR="004F6C07" w:rsidRPr="00E01200" w:rsidRDefault="004F6C07" w:rsidP="004F6C07">
      <w:pPr>
        <w:rPr>
          <w:rFonts w:ascii="Segoe UI" w:hAnsi="Segoe UI" w:cs="Segoe UI"/>
          <w:b/>
          <w:bCs/>
        </w:rPr>
      </w:pPr>
      <w:r w:rsidRPr="00E01200">
        <w:rPr>
          <w:rFonts w:ascii="Segoe UI" w:hAnsi="Segoe UI" w:cs="Segoe UI"/>
        </w:rPr>
        <w:t>The consistent growth trend during the later years suggests successful market expansion and stronger customer engagement over time.</w:t>
      </w:r>
    </w:p>
    <w:p w14:paraId="331A1706" w14:textId="77777777" w:rsidR="00E01200" w:rsidRDefault="00E01200" w:rsidP="004F6C07">
      <w:pPr>
        <w:rPr>
          <w:rFonts w:ascii="Segoe UI" w:hAnsi="Segoe UI" w:cs="Segoe UI"/>
          <w:b/>
          <w:bCs/>
          <w:sz w:val="28"/>
          <w:szCs w:val="28"/>
        </w:rPr>
      </w:pPr>
    </w:p>
    <w:p w14:paraId="2DC75605" w14:textId="2B7E9B57" w:rsidR="0050051D" w:rsidRPr="0050051D" w:rsidRDefault="0050051D" w:rsidP="004F6C07">
      <w:pPr>
        <w:rPr>
          <w:rFonts w:ascii="Segoe UI" w:hAnsi="Segoe UI" w:cs="Segoe UI"/>
          <w:b/>
          <w:bCs/>
          <w:sz w:val="28"/>
          <w:szCs w:val="28"/>
        </w:rPr>
      </w:pPr>
      <w:r w:rsidRPr="0050051D">
        <w:rPr>
          <w:rFonts w:ascii="Segoe UI" w:hAnsi="Segoe UI" w:cs="Segoe UI"/>
          <w:b/>
          <w:bCs/>
          <w:sz w:val="28"/>
          <w:szCs w:val="28"/>
        </w:rPr>
        <w:t>Monthly Sales Trends</w:t>
      </w:r>
    </w:p>
    <w:p w14:paraId="39B61ABD" w14:textId="6CDCAD50" w:rsidR="0050051D" w:rsidRPr="00E01200" w:rsidRDefault="0050051D" w:rsidP="0050051D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The analysis revealed strong seasonality in customer purchasing behavio</w:t>
      </w:r>
      <w:r w:rsidRPr="00E01200">
        <w:rPr>
          <w:rFonts w:ascii="Segoe UI" w:hAnsi="Segoe UI" w:cs="Segoe UI"/>
        </w:rPr>
        <w:t>u</w:t>
      </w:r>
      <w:r w:rsidRPr="00E01200">
        <w:rPr>
          <w:rFonts w:ascii="Segoe UI" w:hAnsi="Segoe UI" w:cs="Segoe UI"/>
        </w:rPr>
        <w:t>r across the year.</w:t>
      </w:r>
    </w:p>
    <w:p w14:paraId="3BE93043" w14:textId="2087C285" w:rsidR="0050051D" w:rsidRPr="0050051D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50051D">
        <w:rPr>
          <w:rFonts w:ascii="Segoe UI" w:hAnsi="Segoe UI" w:cs="Segoe UI"/>
          <w:b/>
          <w:bCs/>
          <w:sz w:val="28"/>
          <w:szCs w:val="28"/>
        </w:rPr>
        <w:t>Best Performing Months</w:t>
      </w:r>
    </w:p>
    <w:p w14:paraId="571FE449" w14:textId="68F1D510" w:rsidR="0050051D" w:rsidRPr="00E01200" w:rsidRDefault="0050051D" w:rsidP="0050051D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November</w:t>
      </w:r>
    </w:p>
    <w:p w14:paraId="7D859690" w14:textId="133E3DE3" w:rsidR="0050051D" w:rsidRPr="00E01200" w:rsidRDefault="0050051D" w:rsidP="0050051D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December</w:t>
      </w:r>
    </w:p>
    <w:p w14:paraId="08EE0E8C" w14:textId="55D8F193" w:rsidR="0050051D" w:rsidRPr="00E01200" w:rsidRDefault="0050051D" w:rsidP="0050051D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September</w:t>
      </w:r>
    </w:p>
    <w:p w14:paraId="2C5A5E0D" w14:textId="77777777" w:rsidR="0050051D" w:rsidRPr="00E01200" w:rsidRDefault="0050051D" w:rsidP="0050051D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These months recorded the highest overall sales, indicating increased customer spending during the year-end and festive shopping season.</w:t>
      </w:r>
    </w:p>
    <w:p w14:paraId="2129DDE8" w14:textId="7F10670D" w:rsidR="0050051D" w:rsidRPr="0050051D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50051D">
        <w:rPr>
          <w:rFonts w:ascii="Segoe UI" w:hAnsi="Segoe UI" w:cs="Segoe UI"/>
          <w:b/>
          <w:bCs/>
          <w:sz w:val="28"/>
          <w:szCs w:val="28"/>
        </w:rPr>
        <w:t>Lowest Performing Months</w:t>
      </w:r>
    </w:p>
    <w:p w14:paraId="5E32D4C3" w14:textId="050DEAD4" w:rsidR="0050051D" w:rsidRPr="00E01200" w:rsidRDefault="0050051D" w:rsidP="0050051D">
      <w:pPr>
        <w:pStyle w:val="ListParagraph"/>
        <w:numPr>
          <w:ilvl w:val="0"/>
          <w:numId w:val="17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January</w:t>
      </w:r>
    </w:p>
    <w:p w14:paraId="5F19219E" w14:textId="01F67566" w:rsidR="0050051D" w:rsidRPr="00E01200" w:rsidRDefault="0050051D" w:rsidP="0050051D">
      <w:pPr>
        <w:pStyle w:val="ListParagraph"/>
        <w:numPr>
          <w:ilvl w:val="0"/>
          <w:numId w:val="17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February</w:t>
      </w:r>
    </w:p>
    <w:p w14:paraId="622B9000" w14:textId="67028E3D" w:rsidR="0050051D" w:rsidRPr="00E01200" w:rsidRDefault="0050051D" w:rsidP="0050051D">
      <w:pPr>
        <w:pStyle w:val="ListParagraph"/>
        <w:numPr>
          <w:ilvl w:val="0"/>
          <w:numId w:val="17"/>
        </w:num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April</w:t>
      </w:r>
    </w:p>
    <w:p w14:paraId="06525A9B" w14:textId="77777777" w:rsidR="0050051D" w:rsidRPr="00E01200" w:rsidRDefault="0050051D" w:rsidP="0050051D">
      <w:pPr>
        <w:rPr>
          <w:rFonts w:ascii="Segoe UI" w:hAnsi="Segoe UI" w:cs="Segoe UI"/>
        </w:rPr>
      </w:pPr>
      <w:r w:rsidRPr="00E01200">
        <w:rPr>
          <w:rFonts w:ascii="Segoe UI" w:hAnsi="Segoe UI" w:cs="Segoe UI"/>
        </w:rPr>
        <w:t>Sales activity was comparatively lower during the beginning of the year, suggesting reduced post-holiday consumer spending.</w:t>
      </w:r>
    </w:p>
    <w:p w14:paraId="5FCC8666" w14:textId="1996F8C8" w:rsidR="0050051D" w:rsidRDefault="004F6C07" w:rsidP="004F6C0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669D22A8" wp14:editId="6D0C0609">
            <wp:extent cx="6024612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9" t="4902" r="6126"/>
                    <a:stretch/>
                  </pic:blipFill>
                  <pic:spPr bwMode="auto">
                    <a:xfrm>
                      <a:off x="0" y="0"/>
                      <a:ext cx="6027481" cy="305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72EB0" w14:textId="77777777" w:rsidR="004F6C07" w:rsidRDefault="004F6C07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0106EE67" w14:textId="77777777" w:rsidR="00E01200" w:rsidRDefault="00E01200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36D3E46F" w14:textId="0AF2006C" w:rsidR="0050051D" w:rsidRPr="0050051D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50051D">
        <w:rPr>
          <w:rFonts w:ascii="Segoe UI" w:hAnsi="Segoe UI" w:cs="Segoe UI"/>
          <w:b/>
          <w:bCs/>
          <w:sz w:val="28"/>
          <w:szCs w:val="28"/>
        </w:rPr>
        <w:lastRenderedPageBreak/>
        <w:t>Key Observation</w:t>
      </w:r>
    </w:p>
    <w:p w14:paraId="68EF5A73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A clear increase in sales was observed during the final quarter of the year, highlighting the impact of holiday shopping and seasonal demand patterns on overall business performance.</w:t>
      </w:r>
    </w:p>
    <w:p w14:paraId="1636D71A" w14:textId="77777777" w:rsidR="004F6C07" w:rsidRDefault="004F6C07" w:rsidP="0050051D">
      <w:pPr>
        <w:rPr>
          <w:rFonts w:ascii="Segoe UI" w:hAnsi="Segoe UI" w:cs="Segoe UI"/>
          <w:sz w:val="24"/>
          <w:szCs w:val="24"/>
        </w:rPr>
      </w:pPr>
    </w:p>
    <w:p w14:paraId="1F50A53A" w14:textId="49D547F8" w:rsidR="0050051D" w:rsidRPr="00263E67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263E67">
        <w:rPr>
          <w:rFonts w:ascii="Segoe UI" w:hAnsi="Segoe UI" w:cs="Segoe UI"/>
          <w:b/>
          <w:bCs/>
          <w:sz w:val="32"/>
          <w:szCs w:val="32"/>
          <w:u w:val="single"/>
        </w:rPr>
        <w:t>Category Performance Analysis</w:t>
      </w:r>
    </w:p>
    <w:p w14:paraId="5E8D77BB" w14:textId="055044C6" w:rsidR="0050051D" w:rsidRPr="00263E67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263E67">
        <w:rPr>
          <w:rFonts w:ascii="Segoe UI" w:hAnsi="Segoe UI" w:cs="Segoe UI"/>
          <w:b/>
          <w:bCs/>
          <w:sz w:val="28"/>
          <w:szCs w:val="28"/>
        </w:rPr>
        <w:t>Revenue Contribution by Category</w:t>
      </w:r>
    </w:p>
    <w:p w14:paraId="02CB5B6E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sales distribution across categories was relatively balanced, although Technology contributed slightly higher revenue than the other categories.</w:t>
      </w:r>
    </w:p>
    <w:p w14:paraId="0CF9046C" w14:textId="7829035E" w:rsidR="0050051D" w:rsidRPr="00223BF0" w:rsidRDefault="0050051D" w:rsidP="00263E67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Technology</w:t>
      </w:r>
      <w:r w:rsidR="00263E67" w:rsidRPr="00223BF0">
        <w:rPr>
          <w:rFonts w:ascii="Segoe UI" w:hAnsi="Segoe UI" w:cs="Segoe UI"/>
        </w:rPr>
        <w:t xml:space="preserve">- </w:t>
      </w:r>
      <w:r w:rsidRPr="00223BF0">
        <w:rPr>
          <w:rFonts w:ascii="Segoe UI" w:hAnsi="Segoe UI" w:cs="Segoe UI"/>
        </w:rPr>
        <w:t>36.4%</w:t>
      </w:r>
    </w:p>
    <w:p w14:paraId="482B48D9" w14:textId="6A990AEA" w:rsidR="0050051D" w:rsidRPr="00223BF0" w:rsidRDefault="0050051D" w:rsidP="00263E67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Furniture</w:t>
      </w:r>
      <w:r w:rsidR="00263E67" w:rsidRPr="00223BF0">
        <w:rPr>
          <w:rFonts w:ascii="Segoe UI" w:hAnsi="Segoe UI" w:cs="Segoe UI"/>
        </w:rPr>
        <w:t xml:space="preserve">- </w:t>
      </w:r>
      <w:r w:rsidRPr="00223BF0">
        <w:rPr>
          <w:rFonts w:ascii="Segoe UI" w:hAnsi="Segoe UI" w:cs="Segoe UI"/>
        </w:rPr>
        <w:t>32.3%</w:t>
      </w:r>
    </w:p>
    <w:p w14:paraId="3F968DB7" w14:textId="3D5D8CAF" w:rsidR="0050051D" w:rsidRPr="00223BF0" w:rsidRDefault="0050051D" w:rsidP="00263E67">
      <w:pPr>
        <w:pStyle w:val="ListParagraph"/>
        <w:numPr>
          <w:ilvl w:val="0"/>
          <w:numId w:val="18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Office Supplies</w:t>
      </w:r>
      <w:r w:rsidR="00263E67" w:rsidRPr="00223BF0">
        <w:rPr>
          <w:rFonts w:ascii="Segoe UI" w:hAnsi="Segoe UI" w:cs="Segoe UI"/>
        </w:rPr>
        <w:t xml:space="preserve">- </w:t>
      </w:r>
      <w:r w:rsidRPr="00223BF0">
        <w:rPr>
          <w:rFonts w:ascii="Segoe UI" w:hAnsi="Segoe UI" w:cs="Segoe UI"/>
        </w:rPr>
        <w:t>31.3%</w:t>
      </w:r>
    </w:p>
    <w:p w14:paraId="0DC77A01" w14:textId="6EF082E0" w:rsidR="0050051D" w:rsidRDefault="0050051D" w:rsidP="0050051D">
      <w:pPr>
        <w:rPr>
          <w:rFonts w:ascii="Segoe UI" w:hAnsi="Segoe UI" w:cs="Segoe UI"/>
          <w:sz w:val="24"/>
          <w:szCs w:val="24"/>
        </w:rPr>
      </w:pPr>
    </w:p>
    <w:p w14:paraId="1BD9C8F5" w14:textId="5282E94C" w:rsidR="00E01200" w:rsidRDefault="00E01200" w:rsidP="0050051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                         </w:t>
      </w:r>
      <w:r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398DE44B" wp14:editId="77858221">
            <wp:extent cx="2971800" cy="2536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2" t="4381" r="18310" b="11738"/>
                    <a:stretch/>
                  </pic:blipFill>
                  <pic:spPr bwMode="auto">
                    <a:xfrm>
                      <a:off x="0" y="0"/>
                      <a:ext cx="2974076" cy="253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D2DE8" w14:textId="77777777" w:rsidR="00E01200" w:rsidRPr="0050051D" w:rsidRDefault="00E01200" w:rsidP="0050051D">
      <w:pPr>
        <w:rPr>
          <w:rFonts w:ascii="Segoe UI" w:hAnsi="Segoe UI" w:cs="Segoe UI"/>
          <w:sz w:val="24"/>
          <w:szCs w:val="24"/>
        </w:rPr>
      </w:pPr>
    </w:p>
    <w:p w14:paraId="38A027A5" w14:textId="736B1A99" w:rsidR="0050051D" w:rsidRPr="00263E67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263E67">
        <w:rPr>
          <w:rFonts w:ascii="Segoe UI" w:hAnsi="Segoe UI" w:cs="Segoe UI"/>
          <w:b/>
          <w:bCs/>
          <w:sz w:val="28"/>
          <w:szCs w:val="28"/>
        </w:rPr>
        <w:t>Key Findings</w:t>
      </w:r>
    </w:p>
    <w:p w14:paraId="54F689CE" w14:textId="6EE84209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Technology emerged as the highest revenue-contributing category.</w:t>
      </w:r>
    </w:p>
    <w:p w14:paraId="11118386" w14:textId="5F3A472F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Office Supplies generated the highest sales volume, indicating frequent customer purchases and strong recurring demand.</w:t>
      </w:r>
    </w:p>
    <w:p w14:paraId="67EF5D6E" w14:textId="59C9AFE9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balanced distribution across categories reflects a diversified product portfolio.</w:t>
      </w:r>
    </w:p>
    <w:p w14:paraId="14BBD368" w14:textId="77777777" w:rsidR="00263E67" w:rsidRDefault="00263E67" w:rsidP="0050051D">
      <w:pPr>
        <w:rPr>
          <w:rFonts w:ascii="Segoe UI" w:hAnsi="Segoe UI" w:cs="Segoe UI"/>
          <w:sz w:val="24"/>
          <w:szCs w:val="24"/>
        </w:rPr>
      </w:pPr>
    </w:p>
    <w:p w14:paraId="1992BDEE" w14:textId="77777777" w:rsidR="00223BF0" w:rsidRDefault="00223BF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6A96BCDD" w14:textId="473A105E" w:rsidR="0050051D" w:rsidRPr="00263E67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263E67">
        <w:rPr>
          <w:rFonts w:ascii="Segoe UI" w:hAnsi="Segoe UI" w:cs="Segoe UI"/>
          <w:b/>
          <w:bCs/>
          <w:sz w:val="32"/>
          <w:szCs w:val="32"/>
          <w:u w:val="single"/>
        </w:rPr>
        <w:lastRenderedPageBreak/>
        <w:t>Best-Selling Sub-Categories</w:t>
      </w:r>
    </w:p>
    <w:p w14:paraId="106E8F9A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highest-performing sub-category within each major category was identified as follows:</w:t>
      </w:r>
    </w:p>
    <w:p w14:paraId="47474B1A" w14:textId="74DE1404" w:rsidR="0050051D" w:rsidRPr="00223BF0" w:rsidRDefault="0050051D" w:rsidP="00263E67">
      <w:pPr>
        <w:pStyle w:val="ListParagraph"/>
        <w:numPr>
          <w:ilvl w:val="0"/>
          <w:numId w:val="19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Technology</w:t>
      </w:r>
      <w:r w:rsidR="00263E67" w:rsidRPr="00223BF0">
        <w:rPr>
          <w:rFonts w:ascii="Segoe UI" w:hAnsi="Segoe UI" w:cs="Segoe UI"/>
        </w:rPr>
        <w:t xml:space="preserve">- </w:t>
      </w:r>
      <w:r w:rsidRPr="00223BF0">
        <w:rPr>
          <w:rFonts w:ascii="Segoe UI" w:hAnsi="Segoe UI" w:cs="Segoe UI"/>
        </w:rPr>
        <w:t>Phones</w:t>
      </w:r>
    </w:p>
    <w:p w14:paraId="15190957" w14:textId="34CE3255" w:rsidR="0050051D" w:rsidRPr="00223BF0" w:rsidRDefault="0050051D" w:rsidP="00263E67">
      <w:pPr>
        <w:pStyle w:val="ListParagraph"/>
        <w:numPr>
          <w:ilvl w:val="0"/>
          <w:numId w:val="19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Furniture</w:t>
      </w:r>
      <w:r w:rsidR="00263E67" w:rsidRPr="00223BF0">
        <w:rPr>
          <w:rFonts w:ascii="Segoe UI" w:hAnsi="Segoe UI" w:cs="Segoe UI"/>
        </w:rPr>
        <w:t>-</w:t>
      </w:r>
      <w:r w:rsidRPr="00223BF0">
        <w:rPr>
          <w:rFonts w:ascii="Segoe UI" w:hAnsi="Segoe UI" w:cs="Segoe UI"/>
        </w:rPr>
        <w:t xml:space="preserve"> Chairs</w:t>
      </w:r>
    </w:p>
    <w:p w14:paraId="7C880526" w14:textId="26040198" w:rsidR="0050051D" w:rsidRPr="00223BF0" w:rsidRDefault="0050051D" w:rsidP="00263E67">
      <w:pPr>
        <w:pStyle w:val="ListParagraph"/>
        <w:numPr>
          <w:ilvl w:val="0"/>
          <w:numId w:val="19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Office Supplies</w:t>
      </w:r>
      <w:r w:rsidR="00263E67" w:rsidRPr="00223BF0">
        <w:rPr>
          <w:rFonts w:ascii="Segoe UI" w:hAnsi="Segoe UI" w:cs="Segoe UI"/>
        </w:rPr>
        <w:t xml:space="preserve">- </w:t>
      </w:r>
      <w:r w:rsidRPr="00223BF0">
        <w:rPr>
          <w:rFonts w:ascii="Segoe UI" w:hAnsi="Segoe UI" w:cs="Segoe UI"/>
        </w:rPr>
        <w:t>Storage</w:t>
      </w:r>
    </w:p>
    <w:p w14:paraId="093A8C01" w14:textId="05B67F60" w:rsidR="0050051D" w:rsidRPr="0050051D" w:rsidRDefault="00E01200" w:rsidP="0050051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4541463D" wp14:editId="49038E96">
            <wp:extent cx="5731510" cy="286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F735" w14:textId="77777777" w:rsidR="00E01200" w:rsidRDefault="00E01200" w:rsidP="0050051D">
      <w:pPr>
        <w:rPr>
          <w:rFonts w:ascii="Segoe UI" w:hAnsi="Segoe UI" w:cs="Segoe UI"/>
          <w:sz w:val="24"/>
          <w:szCs w:val="24"/>
        </w:rPr>
      </w:pPr>
    </w:p>
    <w:p w14:paraId="2619A5F5" w14:textId="2881F905" w:rsidR="0050051D" w:rsidRPr="00263E67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263E67">
        <w:rPr>
          <w:rFonts w:ascii="Segoe UI" w:hAnsi="Segoe UI" w:cs="Segoe UI"/>
          <w:b/>
          <w:bCs/>
          <w:sz w:val="28"/>
          <w:szCs w:val="28"/>
        </w:rPr>
        <w:t>Insights</w:t>
      </w:r>
    </w:p>
    <w:p w14:paraId="475D5CDD" w14:textId="1E6A7B2C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Phones generated significant revenue within the Technology category, reflecting strong demand for communication and electronic products.</w:t>
      </w:r>
    </w:p>
    <w:p w14:paraId="63C055D0" w14:textId="760412BC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Chairs dominated Furniture sales, suggesting consistent demand for office and home seating solutions.</w:t>
      </w:r>
    </w:p>
    <w:p w14:paraId="64A8E9FF" w14:textId="154FA8A4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Storage products performed strongly within Office Supplies due to their broad utility across customers and businesses.</w:t>
      </w:r>
    </w:p>
    <w:p w14:paraId="1A33CB9B" w14:textId="77777777" w:rsidR="00263E67" w:rsidRPr="00263E67" w:rsidRDefault="00263E67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46459F01" w14:textId="77777777" w:rsidR="00E01200" w:rsidRDefault="00E0120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0EC98B5D" w14:textId="77777777" w:rsidR="00E01200" w:rsidRDefault="00E0120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036EC60D" w14:textId="77777777" w:rsidR="00E01200" w:rsidRDefault="00E0120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51F865C4" w14:textId="77777777" w:rsidR="00E01200" w:rsidRDefault="00E0120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17FC4398" w14:textId="77777777" w:rsidR="00223BF0" w:rsidRDefault="00223BF0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29743B80" w14:textId="2D8D121A" w:rsidR="0050051D" w:rsidRPr="00263E67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263E67">
        <w:rPr>
          <w:rFonts w:ascii="Segoe UI" w:hAnsi="Segoe UI" w:cs="Segoe UI"/>
          <w:b/>
          <w:bCs/>
          <w:sz w:val="32"/>
          <w:szCs w:val="32"/>
          <w:u w:val="single"/>
        </w:rPr>
        <w:lastRenderedPageBreak/>
        <w:t>Top Revenue-Generating Products</w:t>
      </w:r>
    </w:p>
    <w:p w14:paraId="16EC3FB9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following products generated the highest sales revenue: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103"/>
        <w:gridCol w:w="2075"/>
      </w:tblGrid>
      <w:tr w:rsidR="00263E67" w:rsidRPr="00223BF0" w14:paraId="69AAB26B" w14:textId="5311936C" w:rsidTr="00223BF0">
        <w:tc>
          <w:tcPr>
            <w:tcW w:w="1838" w:type="dxa"/>
          </w:tcPr>
          <w:p w14:paraId="7D40D39F" w14:textId="6727EB59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Rank</w:t>
            </w:r>
          </w:p>
        </w:tc>
        <w:tc>
          <w:tcPr>
            <w:tcW w:w="5103" w:type="dxa"/>
          </w:tcPr>
          <w:p w14:paraId="56BE9D70" w14:textId="017CAFEB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Product</w:t>
            </w:r>
            <w:r w:rsidRPr="00223BF0">
              <w:rPr>
                <w:rFonts w:ascii="Segoe UI" w:hAnsi="Segoe UI" w:cs="Segoe UI"/>
              </w:rPr>
              <w:t xml:space="preserve"> </w:t>
            </w:r>
            <w:r w:rsidRPr="00223BF0">
              <w:rPr>
                <w:rFonts w:ascii="Segoe UI" w:hAnsi="Segoe UI" w:cs="Segoe UI"/>
              </w:rPr>
              <w:t>Name</w:t>
            </w:r>
          </w:p>
        </w:tc>
        <w:tc>
          <w:tcPr>
            <w:tcW w:w="2075" w:type="dxa"/>
          </w:tcPr>
          <w:p w14:paraId="6451705F" w14:textId="27758425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Sales</w:t>
            </w:r>
          </w:p>
        </w:tc>
      </w:tr>
      <w:tr w:rsidR="00263E67" w:rsidRPr="00223BF0" w14:paraId="0B7EF2D1" w14:textId="2350DA0F" w:rsidTr="00223BF0">
        <w:tc>
          <w:tcPr>
            <w:tcW w:w="1838" w:type="dxa"/>
          </w:tcPr>
          <w:p w14:paraId="3DBBFF1C" w14:textId="4E596CBB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1</w:t>
            </w:r>
            <w:r w:rsidRPr="00223BF0">
              <w:rPr>
                <w:rFonts w:ascii="Segoe UI" w:hAnsi="Segoe UI" w:cs="Segoe UI"/>
              </w:rPr>
              <w:t>.</w:t>
            </w:r>
          </w:p>
        </w:tc>
        <w:tc>
          <w:tcPr>
            <w:tcW w:w="5103" w:type="dxa"/>
          </w:tcPr>
          <w:p w14:paraId="548B9FD1" w14:textId="40457F0A" w:rsidR="00263E67" w:rsidRPr="00223BF0" w:rsidRDefault="00263E67" w:rsidP="00CC710D">
            <w:pPr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 xml:space="preserve">Canon </w:t>
            </w:r>
            <w:proofErr w:type="spellStart"/>
            <w:r w:rsidRPr="00223BF0">
              <w:rPr>
                <w:rFonts w:ascii="Segoe UI" w:hAnsi="Segoe UI" w:cs="Segoe UI"/>
              </w:rPr>
              <w:t>imageCLASS</w:t>
            </w:r>
            <w:proofErr w:type="spellEnd"/>
            <w:r w:rsidRPr="00223BF0">
              <w:rPr>
                <w:rFonts w:ascii="Segoe UI" w:hAnsi="Segoe UI" w:cs="Segoe UI"/>
              </w:rPr>
              <w:t xml:space="preserve"> 2200 Advanced Copier                                        </w:t>
            </w:r>
          </w:p>
        </w:tc>
        <w:tc>
          <w:tcPr>
            <w:tcW w:w="2075" w:type="dxa"/>
          </w:tcPr>
          <w:p w14:paraId="6FCA3A5A" w14:textId="79DC9896" w:rsidR="00263E67" w:rsidRPr="00223BF0" w:rsidRDefault="00263E67" w:rsidP="00843ABE">
            <w:pPr>
              <w:jc w:val="right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61,599.82</w:t>
            </w:r>
          </w:p>
        </w:tc>
      </w:tr>
      <w:tr w:rsidR="00263E67" w:rsidRPr="00223BF0" w14:paraId="4DDB0EDC" w14:textId="3C2D84C8" w:rsidTr="00223BF0">
        <w:tc>
          <w:tcPr>
            <w:tcW w:w="1838" w:type="dxa"/>
          </w:tcPr>
          <w:p w14:paraId="0884A3BB" w14:textId="276E2856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2</w:t>
            </w:r>
            <w:r w:rsidRPr="00223BF0">
              <w:rPr>
                <w:rFonts w:ascii="Segoe UI" w:hAnsi="Segoe UI" w:cs="Segoe UI"/>
              </w:rPr>
              <w:t>.</w:t>
            </w:r>
          </w:p>
        </w:tc>
        <w:tc>
          <w:tcPr>
            <w:tcW w:w="5103" w:type="dxa"/>
          </w:tcPr>
          <w:p w14:paraId="2035DFE5" w14:textId="15C82C2D" w:rsidR="00263E67" w:rsidRPr="00223BF0" w:rsidRDefault="00263E67" w:rsidP="00CC710D">
            <w:pPr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 xml:space="preserve">Fellowes PB500 Electric Punch Plastic Comb Binding Machine with Manual Bind  </w:t>
            </w:r>
          </w:p>
        </w:tc>
        <w:tc>
          <w:tcPr>
            <w:tcW w:w="2075" w:type="dxa"/>
          </w:tcPr>
          <w:p w14:paraId="394BD0B0" w14:textId="2EA8FBCB" w:rsidR="00263E67" w:rsidRPr="00223BF0" w:rsidRDefault="00263E67" w:rsidP="00843ABE">
            <w:pPr>
              <w:jc w:val="right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27,453.38</w:t>
            </w:r>
          </w:p>
        </w:tc>
      </w:tr>
      <w:tr w:rsidR="00263E67" w:rsidRPr="00223BF0" w14:paraId="157386A4" w14:textId="2C91B639" w:rsidTr="00223BF0">
        <w:tc>
          <w:tcPr>
            <w:tcW w:w="1838" w:type="dxa"/>
          </w:tcPr>
          <w:p w14:paraId="62D2E502" w14:textId="6349CD28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3</w:t>
            </w:r>
            <w:r w:rsidRPr="00223BF0">
              <w:rPr>
                <w:rFonts w:ascii="Segoe UI" w:hAnsi="Segoe UI" w:cs="Segoe UI"/>
              </w:rPr>
              <w:t>.</w:t>
            </w:r>
          </w:p>
        </w:tc>
        <w:tc>
          <w:tcPr>
            <w:tcW w:w="5103" w:type="dxa"/>
          </w:tcPr>
          <w:p w14:paraId="67D5F060" w14:textId="0D01CE4C" w:rsidR="00263E67" w:rsidRPr="00223BF0" w:rsidRDefault="00263E67" w:rsidP="00CC710D">
            <w:pPr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 xml:space="preserve">Cisco </w:t>
            </w:r>
            <w:proofErr w:type="spellStart"/>
            <w:r w:rsidRPr="00223BF0">
              <w:rPr>
                <w:rFonts w:ascii="Segoe UI" w:hAnsi="Segoe UI" w:cs="Segoe UI"/>
              </w:rPr>
              <w:t>TelePresence</w:t>
            </w:r>
            <w:proofErr w:type="spellEnd"/>
            <w:r w:rsidRPr="00223BF0">
              <w:rPr>
                <w:rFonts w:ascii="Segoe UI" w:hAnsi="Segoe UI" w:cs="Segoe UI"/>
              </w:rPr>
              <w:t xml:space="preserve"> System EX90 Videoconferencing Unit                        </w:t>
            </w:r>
          </w:p>
        </w:tc>
        <w:tc>
          <w:tcPr>
            <w:tcW w:w="2075" w:type="dxa"/>
          </w:tcPr>
          <w:p w14:paraId="6D086AB7" w14:textId="0C9A2CC0" w:rsidR="00263E67" w:rsidRPr="00223BF0" w:rsidRDefault="00263E67" w:rsidP="00843ABE">
            <w:pPr>
              <w:jc w:val="right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22,638.48</w:t>
            </w:r>
          </w:p>
        </w:tc>
      </w:tr>
      <w:tr w:rsidR="00263E67" w:rsidRPr="00223BF0" w14:paraId="1F6C21BB" w14:textId="76F2EFA7" w:rsidTr="00223BF0">
        <w:tc>
          <w:tcPr>
            <w:tcW w:w="1838" w:type="dxa"/>
          </w:tcPr>
          <w:p w14:paraId="3D4E04AB" w14:textId="24C6B339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4</w:t>
            </w:r>
            <w:r w:rsidRPr="00223BF0">
              <w:rPr>
                <w:rFonts w:ascii="Segoe UI" w:hAnsi="Segoe UI" w:cs="Segoe UI"/>
              </w:rPr>
              <w:t>.</w:t>
            </w:r>
          </w:p>
        </w:tc>
        <w:tc>
          <w:tcPr>
            <w:tcW w:w="5103" w:type="dxa"/>
          </w:tcPr>
          <w:p w14:paraId="0C010D69" w14:textId="46D1B319" w:rsidR="00263E67" w:rsidRPr="00223BF0" w:rsidRDefault="00263E67" w:rsidP="00CC710D">
            <w:pPr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 xml:space="preserve">HON 5400 Series Task Chairs for Big and Tall                                 </w:t>
            </w:r>
          </w:p>
        </w:tc>
        <w:tc>
          <w:tcPr>
            <w:tcW w:w="2075" w:type="dxa"/>
          </w:tcPr>
          <w:p w14:paraId="60E0DF90" w14:textId="2B1575B8" w:rsidR="00263E67" w:rsidRPr="00223BF0" w:rsidRDefault="00263E67" w:rsidP="00843ABE">
            <w:pPr>
              <w:jc w:val="right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21,870.58</w:t>
            </w:r>
          </w:p>
        </w:tc>
      </w:tr>
      <w:tr w:rsidR="00263E67" w:rsidRPr="00223BF0" w14:paraId="2410C6C6" w14:textId="2DED87EE" w:rsidTr="00223BF0">
        <w:trPr>
          <w:trHeight w:val="347"/>
        </w:trPr>
        <w:tc>
          <w:tcPr>
            <w:tcW w:w="1838" w:type="dxa"/>
          </w:tcPr>
          <w:p w14:paraId="47A1A214" w14:textId="3CBAD91C" w:rsidR="00263E67" w:rsidRPr="00223BF0" w:rsidRDefault="00263E67" w:rsidP="00843ABE">
            <w:pPr>
              <w:jc w:val="center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5</w:t>
            </w:r>
            <w:r w:rsidRPr="00223BF0">
              <w:rPr>
                <w:rFonts w:ascii="Segoe UI" w:hAnsi="Segoe UI" w:cs="Segoe UI"/>
              </w:rPr>
              <w:t>.</w:t>
            </w:r>
          </w:p>
        </w:tc>
        <w:tc>
          <w:tcPr>
            <w:tcW w:w="5103" w:type="dxa"/>
          </w:tcPr>
          <w:p w14:paraId="1256B956" w14:textId="622634CA" w:rsidR="00263E67" w:rsidRPr="00223BF0" w:rsidRDefault="00263E67" w:rsidP="00CC710D">
            <w:pPr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 xml:space="preserve">GBC </w:t>
            </w:r>
            <w:proofErr w:type="spellStart"/>
            <w:r w:rsidRPr="00223BF0">
              <w:rPr>
                <w:rFonts w:ascii="Segoe UI" w:hAnsi="Segoe UI" w:cs="Segoe UI"/>
              </w:rPr>
              <w:t>DocuBind</w:t>
            </w:r>
            <w:proofErr w:type="spellEnd"/>
            <w:r w:rsidRPr="00223BF0">
              <w:rPr>
                <w:rFonts w:ascii="Segoe UI" w:hAnsi="Segoe UI" w:cs="Segoe UI"/>
              </w:rPr>
              <w:t xml:space="preserve"> TL300 Electric Binding System                                   </w:t>
            </w:r>
          </w:p>
        </w:tc>
        <w:tc>
          <w:tcPr>
            <w:tcW w:w="2075" w:type="dxa"/>
          </w:tcPr>
          <w:p w14:paraId="0C848F87" w14:textId="6EA2498C" w:rsidR="00263E67" w:rsidRPr="00223BF0" w:rsidRDefault="00263E67" w:rsidP="00843ABE">
            <w:pPr>
              <w:jc w:val="right"/>
              <w:rPr>
                <w:rFonts w:ascii="Segoe UI" w:hAnsi="Segoe UI" w:cs="Segoe UI"/>
              </w:rPr>
            </w:pPr>
            <w:r w:rsidRPr="00223BF0">
              <w:rPr>
                <w:rFonts w:ascii="Segoe UI" w:hAnsi="Segoe UI" w:cs="Segoe UI"/>
              </w:rPr>
              <w:t>19,823.48</w:t>
            </w:r>
          </w:p>
        </w:tc>
      </w:tr>
    </w:tbl>
    <w:p w14:paraId="3722EA26" w14:textId="6B2782D0" w:rsidR="00223BF0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Key Findings</w:t>
      </w:r>
      <w:r w:rsidR="00223BF0"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                     </w:t>
      </w:r>
    </w:p>
    <w:p w14:paraId="47428CF2" w14:textId="6B04EDC7" w:rsidR="0050051D" w:rsidRPr="00223BF0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223BF0">
        <w:rPr>
          <w:rFonts w:ascii="Segoe UI" w:hAnsi="Segoe UI" w:cs="Segoe UI"/>
        </w:rPr>
        <w:t>Technology products dominated the top revenue-generating product list.</w:t>
      </w:r>
    </w:p>
    <w:p w14:paraId="5F260C55" w14:textId="6532CA56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High-value office equipment and communication devices contributed significantly to overall sales revenue.</w:t>
      </w:r>
    </w:p>
    <w:p w14:paraId="51B412B6" w14:textId="68893E8D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Furniture products also appeared among top-performing products, indicating stable demand across categories.</w:t>
      </w:r>
    </w:p>
    <w:p w14:paraId="02FE131D" w14:textId="77777777" w:rsidR="00843ABE" w:rsidRDefault="00843ABE" w:rsidP="0050051D">
      <w:pPr>
        <w:rPr>
          <w:rFonts w:ascii="Segoe UI" w:hAnsi="Segoe UI" w:cs="Segoe UI"/>
          <w:sz w:val="24"/>
          <w:szCs w:val="24"/>
        </w:rPr>
      </w:pPr>
    </w:p>
    <w:p w14:paraId="3C2CB98E" w14:textId="06A6B539" w:rsidR="0050051D" w:rsidRPr="00843ABE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843ABE">
        <w:rPr>
          <w:rFonts w:ascii="Segoe UI" w:hAnsi="Segoe UI" w:cs="Segoe UI"/>
          <w:b/>
          <w:bCs/>
          <w:sz w:val="32"/>
          <w:szCs w:val="32"/>
          <w:u w:val="single"/>
        </w:rPr>
        <w:t>Profitability Analysis</w:t>
      </w:r>
    </w:p>
    <w:p w14:paraId="4F16280F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Product profitability analysis revealed that high sales volume does not always guarantee strong profitability.</w:t>
      </w:r>
    </w:p>
    <w:p w14:paraId="200B9CDF" w14:textId="77777777" w:rsidR="0050051D" w:rsidRPr="00223BF0" w:rsidRDefault="0050051D" w:rsidP="0050051D">
      <w:pPr>
        <w:rPr>
          <w:rFonts w:ascii="Segoe UI" w:hAnsi="Segoe UI" w:cs="Segoe UI"/>
        </w:rPr>
      </w:pPr>
    </w:p>
    <w:p w14:paraId="788DCD2F" w14:textId="2AA12F71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Key Insights</w:t>
      </w:r>
    </w:p>
    <w:p w14:paraId="31D0B63C" w14:textId="04A5D440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 xml:space="preserve">The Canon </w:t>
      </w:r>
      <w:proofErr w:type="spellStart"/>
      <w:r w:rsidRPr="00223BF0">
        <w:rPr>
          <w:rFonts w:ascii="Segoe UI" w:hAnsi="Segoe UI" w:cs="Segoe UI"/>
        </w:rPr>
        <w:t>imageCLASS</w:t>
      </w:r>
      <w:proofErr w:type="spellEnd"/>
      <w:r w:rsidRPr="00223BF0">
        <w:rPr>
          <w:rFonts w:ascii="Segoe UI" w:hAnsi="Segoe UI" w:cs="Segoe UI"/>
        </w:rPr>
        <w:t xml:space="preserve"> 2200 Advanced Copier generated both high sales and strong profits, making it one of the most valuable products in the dataset.</w:t>
      </w:r>
    </w:p>
    <w:p w14:paraId="2EEBDF29" w14:textId="68CC58B0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Certain products generated high revenue but weak or negative profit margins, indicating possible over-discounting or pricing inefficiencies.</w:t>
      </w:r>
    </w:p>
    <w:p w14:paraId="77EC2CD6" w14:textId="77777777" w:rsidR="00223BF0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223BF0">
        <w:rPr>
          <w:rFonts w:ascii="Segoe UI" w:hAnsi="Segoe UI" w:cs="Segoe UI"/>
        </w:rPr>
        <w:t>Products with higher discounts generally showed lower profitability, suggesting that excessive discounting negatively impacts business margins.</w:t>
      </w:r>
      <w:r w:rsidR="00223BF0" w:rsidRPr="00223BF0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223BF0">
        <w:rPr>
          <w:rFonts w:ascii="Segoe UI" w:hAnsi="Segoe UI" w:cs="Segoe UI"/>
          <w:b/>
          <w:bCs/>
          <w:sz w:val="28"/>
          <w:szCs w:val="28"/>
        </w:rPr>
        <w:t xml:space="preserve"> </w:t>
      </w:r>
    </w:p>
    <w:p w14:paraId="29DCE6B0" w14:textId="601A9C54" w:rsidR="0050051D" w:rsidRPr="00223BF0" w:rsidRDefault="00223BF0" w:rsidP="00223BF0">
      <w:pPr>
        <w:rPr>
          <w:rFonts w:ascii="Segoe UI" w:hAnsi="Segoe UI" w:cs="Segoe UI"/>
          <w:b/>
          <w:bCs/>
          <w:sz w:val="28"/>
          <w:szCs w:val="28"/>
        </w:rPr>
      </w:pPr>
      <w:r w:rsidRPr="00223BF0">
        <w:rPr>
          <w:rFonts w:ascii="Segoe UI" w:hAnsi="Segoe UI" w:cs="Segoe UI"/>
          <w:b/>
          <w:bCs/>
          <w:sz w:val="28"/>
          <w:szCs w:val="28"/>
        </w:rPr>
        <w:lastRenderedPageBreak/>
        <w:drawing>
          <wp:inline distT="0" distB="0" distL="0" distR="0" wp14:anchorId="004F34AF" wp14:editId="386CF959">
            <wp:extent cx="6081359" cy="2306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1359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44D1" w14:textId="77777777" w:rsidR="00223BF0" w:rsidRDefault="00223BF0" w:rsidP="0050051D">
      <w:pPr>
        <w:rPr>
          <w:rFonts w:ascii="Segoe UI" w:hAnsi="Segoe UI" w:cs="Segoe UI"/>
          <w:sz w:val="24"/>
          <w:szCs w:val="24"/>
        </w:rPr>
      </w:pPr>
    </w:p>
    <w:p w14:paraId="549B62F4" w14:textId="47A68CBF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Business Implications</w:t>
      </w:r>
    </w:p>
    <w:p w14:paraId="1625A8FA" w14:textId="77777777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findings emphasize the importance of monitoring both revenue and profitability together rather than focusing solely on sales growth.</w:t>
      </w:r>
    </w:p>
    <w:p w14:paraId="4EE54484" w14:textId="77777777" w:rsidR="00843ABE" w:rsidRDefault="00843ABE" w:rsidP="0050051D">
      <w:pPr>
        <w:rPr>
          <w:rFonts w:ascii="Segoe UI" w:hAnsi="Segoe UI" w:cs="Segoe UI"/>
          <w:sz w:val="24"/>
          <w:szCs w:val="24"/>
        </w:rPr>
      </w:pPr>
    </w:p>
    <w:p w14:paraId="3EDB6EB8" w14:textId="31957CE6" w:rsidR="0050051D" w:rsidRPr="00843ABE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843ABE">
        <w:rPr>
          <w:rFonts w:ascii="Segoe UI" w:hAnsi="Segoe UI" w:cs="Segoe UI"/>
          <w:b/>
          <w:bCs/>
          <w:sz w:val="32"/>
          <w:szCs w:val="32"/>
          <w:u w:val="single"/>
        </w:rPr>
        <w:t>Geographic Sales Performance</w:t>
      </w:r>
    </w:p>
    <w:p w14:paraId="636C5B9E" w14:textId="789D65A0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Best Performing States</w:t>
      </w:r>
    </w:p>
    <w:p w14:paraId="00614DEE" w14:textId="77777777" w:rsidR="00DA25D3" w:rsidRDefault="00DA25D3" w:rsidP="00DA25D3">
      <w:pPr>
        <w:pStyle w:val="ListParagraph"/>
        <w:rPr>
          <w:rFonts w:ascii="Segoe UI" w:hAnsi="Segoe UI" w:cs="Segoe UI"/>
        </w:rPr>
      </w:pPr>
    </w:p>
    <w:p w14:paraId="5AF1C4F1" w14:textId="7A328D3D" w:rsidR="0050051D" w:rsidRPr="00223BF0" w:rsidRDefault="0050051D" w:rsidP="00843ABE">
      <w:pPr>
        <w:pStyle w:val="ListParagraph"/>
        <w:numPr>
          <w:ilvl w:val="0"/>
          <w:numId w:val="20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California</w:t>
      </w:r>
    </w:p>
    <w:p w14:paraId="081D3609" w14:textId="3698A989" w:rsidR="0050051D" w:rsidRPr="00223BF0" w:rsidRDefault="0050051D" w:rsidP="00843ABE">
      <w:pPr>
        <w:pStyle w:val="ListParagraph"/>
        <w:numPr>
          <w:ilvl w:val="0"/>
          <w:numId w:val="20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New York</w:t>
      </w:r>
    </w:p>
    <w:p w14:paraId="5A975206" w14:textId="77777777" w:rsidR="00DA25D3" w:rsidRDefault="00DA25D3" w:rsidP="0050051D">
      <w:pPr>
        <w:rPr>
          <w:rFonts w:ascii="Segoe UI" w:hAnsi="Segoe UI" w:cs="Segoe UI"/>
        </w:rPr>
      </w:pPr>
    </w:p>
    <w:p w14:paraId="3C6F2EDD" w14:textId="187BA5E0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These states consistently recorded the highest sales performance across categories, indicating strong market demand and customer concentration.</w:t>
      </w:r>
    </w:p>
    <w:p w14:paraId="1065B159" w14:textId="77777777" w:rsidR="0050051D" w:rsidRPr="0050051D" w:rsidRDefault="0050051D" w:rsidP="0050051D">
      <w:pPr>
        <w:rPr>
          <w:rFonts w:ascii="Segoe UI" w:hAnsi="Segoe UI" w:cs="Segoe UI"/>
          <w:sz w:val="24"/>
          <w:szCs w:val="24"/>
        </w:rPr>
      </w:pPr>
    </w:p>
    <w:p w14:paraId="28516DBD" w14:textId="19ACCD6E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Under-Performing States</w:t>
      </w:r>
    </w:p>
    <w:p w14:paraId="40F12E4A" w14:textId="77777777" w:rsidR="00DA25D3" w:rsidRDefault="00DA25D3" w:rsidP="00DA25D3">
      <w:pPr>
        <w:pStyle w:val="ListParagraph"/>
        <w:rPr>
          <w:rFonts w:ascii="Segoe UI" w:hAnsi="Segoe UI" w:cs="Segoe UI"/>
        </w:rPr>
      </w:pPr>
    </w:p>
    <w:p w14:paraId="2A641AF2" w14:textId="2FF7652D" w:rsidR="0050051D" w:rsidRPr="00223BF0" w:rsidRDefault="0050051D" w:rsidP="00843ABE">
      <w:pPr>
        <w:pStyle w:val="ListParagraph"/>
        <w:numPr>
          <w:ilvl w:val="0"/>
          <w:numId w:val="21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Wyoming</w:t>
      </w:r>
    </w:p>
    <w:p w14:paraId="5D6A83B0" w14:textId="7A894D68" w:rsidR="0050051D" w:rsidRPr="00223BF0" w:rsidRDefault="0050051D" w:rsidP="00843ABE">
      <w:pPr>
        <w:pStyle w:val="ListParagraph"/>
        <w:numPr>
          <w:ilvl w:val="0"/>
          <w:numId w:val="21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North Dakota</w:t>
      </w:r>
    </w:p>
    <w:p w14:paraId="5A4AE59B" w14:textId="006B7F1A" w:rsidR="0050051D" w:rsidRPr="00223BF0" w:rsidRDefault="0050051D" w:rsidP="00843ABE">
      <w:pPr>
        <w:pStyle w:val="ListParagraph"/>
        <w:numPr>
          <w:ilvl w:val="0"/>
          <w:numId w:val="21"/>
        </w:num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West Virginia</w:t>
      </w:r>
    </w:p>
    <w:p w14:paraId="3AA9A069" w14:textId="77777777" w:rsidR="00DA25D3" w:rsidRDefault="00DA25D3" w:rsidP="0050051D">
      <w:pPr>
        <w:rPr>
          <w:rFonts w:ascii="Segoe UI" w:hAnsi="Segoe UI" w:cs="Segoe UI"/>
        </w:rPr>
      </w:pPr>
    </w:p>
    <w:p w14:paraId="5EA561B9" w14:textId="656A50C6" w:rsidR="0050051D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These regions recorded comparatively lower sales activity and customer engagement.</w:t>
      </w:r>
    </w:p>
    <w:p w14:paraId="1EBD4598" w14:textId="5E238925" w:rsidR="002A5DBD" w:rsidRDefault="002A5DBD" w:rsidP="0050051D">
      <w:pPr>
        <w:rPr>
          <w:rFonts w:ascii="Segoe UI" w:hAnsi="Segoe UI" w:cs="Segoe UI"/>
        </w:rPr>
      </w:pPr>
    </w:p>
    <w:p w14:paraId="145141BC" w14:textId="0C53955A" w:rsidR="002A5DBD" w:rsidRDefault="002A5DBD" w:rsidP="0050051D">
      <w:pPr>
        <w:rPr>
          <w:rFonts w:ascii="Segoe UI" w:hAnsi="Segoe UI" w:cs="Segoe UI"/>
        </w:rPr>
      </w:pPr>
    </w:p>
    <w:p w14:paraId="7D955F2E" w14:textId="66715E78" w:rsidR="002A5DBD" w:rsidRDefault="002A5DBD" w:rsidP="0050051D">
      <w:pPr>
        <w:rPr>
          <w:rFonts w:ascii="Segoe UI" w:hAnsi="Segoe UI" w:cs="Segoe UI"/>
        </w:rPr>
      </w:pPr>
    </w:p>
    <w:p w14:paraId="26421E0D" w14:textId="5187A73F" w:rsidR="002A5DBD" w:rsidRDefault="002A5DBD" w:rsidP="0050051D">
      <w:pPr>
        <w:rPr>
          <w:rFonts w:ascii="Segoe UI" w:hAnsi="Segoe UI" w:cs="Segoe UI"/>
        </w:rPr>
      </w:pPr>
    </w:p>
    <w:p w14:paraId="5C280383" w14:textId="061B9A73" w:rsidR="002A5DBD" w:rsidRDefault="002A5DBD" w:rsidP="0050051D">
      <w:pPr>
        <w:rPr>
          <w:rFonts w:ascii="Segoe UI" w:hAnsi="Segoe UI" w:cs="Segoe UI"/>
        </w:rPr>
      </w:pPr>
    </w:p>
    <w:p w14:paraId="38AC8D72" w14:textId="4EBB210F" w:rsidR="002A5DBD" w:rsidRDefault="002A5DBD" w:rsidP="0050051D">
      <w:pPr>
        <w:rPr>
          <w:rFonts w:ascii="Segoe UI" w:hAnsi="Segoe UI" w:cs="Segoe UI"/>
        </w:rPr>
      </w:pPr>
    </w:p>
    <w:p w14:paraId="7BF023B2" w14:textId="77777777" w:rsidR="002A5DBD" w:rsidRPr="00223BF0" w:rsidRDefault="002A5DBD" w:rsidP="0050051D">
      <w:pPr>
        <w:rPr>
          <w:rFonts w:ascii="Segoe UI" w:hAnsi="Segoe UI" w:cs="Segoe UI"/>
        </w:rPr>
      </w:pPr>
    </w:p>
    <w:p w14:paraId="09A2DFDC" w14:textId="4F0FC5EE" w:rsidR="0050051D" w:rsidRPr="0050051D" w:rsidRDefault="00DA25D3" w:rsidP="0050051D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EB363E4" wp14:editId="7D420813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B3FA" w14:textId="77777777" w:rsidR="002A5DBD" w:rsidRDefault="002A5DBD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4872B2BE" w14:textId="24162C42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Regional Insights</w:t>
      </w:r>
    </w:p>
    <w:p w14:paraId="7AAEC69D" w14:textId="5A8F0BC8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Technology products performed exceptionally well in high-revenue states such as California and New York.</w:t>
      </w:r>
    </w:p>
    <w:p w14:paraId="1E067F6E" w14:textId="3CC3F0E4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Furniture and Office Supplies showed relatively stable demand across multiple regions.</w:t>
      </w:r>
    </w:p>
    <w:p w14:paraId="7A536551" w14:textId="43FD309F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Significant regional variation in category performance suggests opportunities for region-specific inventory and marketing strategies.</w:t>
      </w:r>
    </w:p>
    <w:p w14:paraId="3B974D3A" w14:textId="77777777" w:rsidR="00223BF0" w:rsidRDefault="00223BF0" w:rsidP="0050051D">
      <w:pPr>
        <w:rPr>
          <w:rFonts w:ascii="Segoe UI" w:hAnsi="Segoe UI" w:cs="Segoe UI"/>
          <w:sz w:val="24"/>
          <w:szCs w:val="24"/>
        </w:rPr>
      </w:pPr>
    </w:p>
    <w:p w14:paraId="4A1C7B80" w14:textId="77777777" w:rsidR="002A5DBD" w:rsidRDefault="002A5DBD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362BF2D8" w14:textId="77777777" w:rsidR="002A5DBD" w:rsidRDefault="002A5DBD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143CB97B" w14:textId="77777777" w:rsidR="002A5DBD" w:rsidRDefault="002A5DBD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5A4D600A" w14:textId="77777777" w:rsidR="00DA25D3" w:rsidRDefault="00DA25D3" w:rsidP="0050051D">
      <w:pPr>
        <w:rPr>
          <w:rFonts w:ascii="Segoe UI" w:hAnsi="Segoe UI" w:cs="Segoe UI"/>
          <w:b/>
          <w:bCs/>
          <w:sz w:val="28"/>
          <w:szCs w:val="28"/>
        </w:rPr>
      </w:pPr>
    </w:p>
    <w:p w14:paraId="6D6960C6" w14:textId="693CBDE1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Customer and Regional Behavio</w:t>
      </w:r>
      <w:r w:rsidR="00843ABE">
        <w:rPr>
          <w:rFonts w:ascii="Segoe UI" w:hAnsi="Segoe UI" w:cs="Segoe UI"/>
          <w:b/>
          <w:bCs/>
          <w:sz w:val="28"/>
          <w:szCs w:val="28"/>
        </w:rPr>
        <w:t>u</w:t>
      </w:r>
      <w:r w:rsidRPr="00843ABE">
        <w:rPr>
          <w:rFonts w:ascii="Segoe UI" w:hAnsi="Segoe UI" w:cs="Segoe UI"/>
          <w:b/>
          <w:bCs/>
          <w:sz w:val="28"/>
          <w:szCs w:val="28"/>
        </w:rPr>
        <w:t>r Insights</w:t>
      </w:r>
    </w:p>
    <w:p w14:paraId="1E1C3B20" w14:textId="06873B40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Repeat purchase behavio</w:t>
      </w:r>
      <w:r w:rsidR="00843ABE" w:rsidRPr="00223BF0">
        <w:rPr>
          <w:rFonts w:ascii="Segoe UI" w:hAnsi="Segoe UI" w:cs="Segoe UI"/>
        </w:rPr>
        <w:t>u</w:t>
      </w:r>
      <w:r w:rsidRPr="00223BF0">
        <w:rPr>
          <w:rFonts w:ascii="Segoe UI" w:hAnsi="Segoe UI" w:cs="Segoe UI"/>
        </w:rPr>
        <w:t>r was stronger in certain states, indicating varying levels of customer retention and regional engagement.</w:t>
      </w:r>
    </w:p>
    <w:p w14:paraId="3C14F658" w14:textId="361CEFFE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Sales concentration was higher in urban and economically active states, reflecting stronger purchasing power and customer demand.</w:t>
      </w:r>
    </w:p>
    <w:p w14:paraId="0B3B5EE5" w14:textId="0F2FAD61" w:rsidR="0050051D" w:rsidRPr="002A5DBD" w:rsidRDefault="0050051D" w:rsidP="0050051D">
      <w:pPr>
        <w:rPr>
          <w:rFonts w:ascii="Segoe UI" w:hAnsi="Segoe UI" w:cs="Segoe UI"/>
        </w:rPr>
      </w:pPr>
      <w:r w:rsidRPr="002A5DBD">
        <w:rPr>
          <w:rFonts w:ascii="Segoe UI" w:hAnsi="Segoe UI" w:cs="Segoe UI"/>
        </w:rPr>
        <w:t>Regional category preferences indicate that targeted marketing strategies could improve customer engagement and conversion rates.</w:t>
      </w:r>
    </w:p>
    <w:p w14:paraId="6D8EB35B" w14:textId="16839954" w:rsidR="00223BF0" w:rsidRDefault="00223BF0" w:rsidP="0050051D">
      <w:pPr>
        <w:rPr>
          <w:rFonts w:ascii="Segoe UI" w:hAnsi="Segoe UI" w:cs="Segoe UI"/>
          <w:sz w:val="24"/>
          <w:szCs w:val="24"/>
        </w:rPr>
      </w:pPr>
    </w:p>
    <w:p w14:paraId="519DFB50" w14:textId="291C1321" w:rsidR="00223BF0" w:rsidRDefault="002A5DBD" w:rsidP="0050051D">
      <w:pPr>
        <w:rPr>
          <w:rFonts w:ascii="Segoe UI" w:hAnsi="Segoe UI" w:cs="Segoe UI"/>
          <w:sz w:val="24"/>
          <w:szCs w:val="24"/>
        </w:rPr>
      </w:pPr>
      <w:r w:rsidRPr="002A5DBD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3516A6FD" wp14:editId="270AAD7A">
            <wp:extent cx="5731510" cy="56826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82FA" w14:textId="77777777" w:rsidR="00223BF0" w:rsidRDefault="00223BF0" w:rsidP="0050051D">
      <w:pPr>
        <w:rPr>
          <w:rFonts w:ascii="Segoe UI" w:hAnsi="Segoe UI" w:cs="Segoe UI"/>
          <w:sz w:val="24"/>
          <w:szCs w:val="24"/>
        </w:rPr>
      </w:pPr>
    </w:p>
    <w:p w14:paraId="702E614C" w14:textId="77777777" w:rsidR="002A5DBD" w:rsidRDefault="002A5DB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6739FA86" w14:textId="1FA0A032" w:rsidR="0050051D" w:rsidRPr="00843ABE" w:rsidRDefault="0050051D" w:rsidP="0050051D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843ABE">
        <w:rPr>
          <w:rFonts w:ascii="Segoe UI" w:hAnsi="Segoe UI" w:cs="Segoe UI"/>
          <w:b/>
          <w:bCs/>
          <w:sz w:val="32"/>
          <w:szCs w:val="32"/>
          <w:u w:val="single"/>
        </w:rPr>
        <w:t>Business Recommendations</w:t>
      </w:r>
    </w:p>
    <w:p w14:paraId="3B76A97C" w14:textId="34CE949B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Sales and Marketing Recommendations</w:t>
      </w:r>
    </w:p>
    <w:p w14:paraId="0392697C" w14:textId="7427CA95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Increase promotional campaigns during high-performing months such as November and December to maximize seasonal revenue opportunities.</w:t>
      </w:r>
    </w:p>
    <w:p w14:paraId="22E5607D" w14:textId="3593B2E3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Implement targeted digital marketing campaigns for Technology products in high-performing states.</w:t>
      </w:r>
    </w:p>
    <w:p w14:paraId="54B355DA" w14:textId="7E427292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Introduce loyalty programs and personalized offers to improve repeat customer purchases.</w:t>
      </w:r>
    </w:p>
    <w:p w14:paraId="1D32F6FD" w14:textId="77777777" w:rsidR="00223BF0" w:rsidRDefault="00223BF0" w:rsidP="0050051D">
      <w:pPr>
        <w:rPr>
          <w:rFonts w:ascii="Segoe UI" w:hAnsi="Segoe UI" w:cs="Segoe UI"/>
          <w:sz w:val="24"/>
          <w:szCs w:val="24"/>
        </w:rPr>
      </w:pPr>
    </w:p>
    <w:p w14:paraId="11CC8BF0" w14:textId="00E2F08D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lastRenderedPageBreak/>
        <w:t>Profitability Recommendations</w:t>
      </w:r>
    </w:p>
    <w:p w14:paraId="69C90814" w14:textId="632133D2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Reduce excessive discounting on products with consistently low or negative profit margins.</w:t>
      </w:r>
    </w:p>
    <w:p w14:paraId="6047D363" w14:textId="0BCDFA53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Promote high-margin products through premium positioning and targeted advertising.</w:t>
      </w:r>
    </w:p>
    <w:p w14:paraId="3E855AED" w14:textId="7808FF5E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Use product bundling strategies to increase average order value and improve profitability.</w:t>
      </w:r>
    </w:p>
    <w:p w14:paraId="1CFE0766" w14:textId="77777777" w:rsidR="0050051D" w:rsidRPr="0050051D" w:rsidRDefault="0050051D" w:rsidP="0050051D">
      <w:pPr>
        <w:rPr>
          <w:rFonts w:ascii="Segoe UI" w:hAnsi="Segoe UI" w:cs="Segoe UI"/>
          <w:sz w:val="24"/>
          <w:szCs w:val="24"/>
        </w:rPr>
      </w:pPr>
    </w:p>
    <w:p w14:paraId="586E8A9A" w14:textId="0C39A25A" w:rsidR="0050051D" w:rsidRPr="00843ABE" w:rsidRDefault="0050051D" w:rsidP="0050051D">
      <w:pPr>
        <w:rPr>
          <w:rFonts w:ascii="Segoe UI" w:hAnsi="Segoe UI" w:cs="Segoe UI"/>
          <w:b/>
          <w:bCs/>
          <w:sz w:val="28"/>
          <w:szCs w:val="28"/>
        </w:rPr>
      </w:pPr>
      <w:r w:rsidRPr="00843ABE">
        <w:rPr>
          <w:rFonts w:ascii="Segoe UI" w:hAnsi="Segoe UI" w:cs="Segoe UI"/>
          <w:b/>
          <w:bCs/>
          <w:sz w:val="28"/>
          <w:szCs w:val="28"/>
        </w:rPr>
        <w:t>Logistics Recommendations</w:t>
      </w:r>
    </w:p>
    <w:p w14:paraId="4E6B542C" w14:textId="1A160B13" w:rsidR="0050051D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Prioritize inventory allocation and warehouse optimization in high-demand states such as California and New York.</w:t>
      </w:r>
    </w:p>
    <w:p w14:paraId="0688F993" w14:textId="12CD6E38" w:rsidR="0050051D" w:rsidRPr="0050051D" w:rsidRDefault="0050051D" w:rsidP="0050051D">
      <w:pPr>
        <w:rPr>
          <w:rFonts w:ascii="Segoe UI" w:hAnsi="Segoe UI" w:cs="Segoe UI"/>
          <w:sz w:val="24"/>
          <w:szCs w:val="24"/>
        </w:rPr>
      </w:pPr>
      <w:r w:rsidRPr="00223BF0">
        <w:rPr>
          <w:rFonts w:ascii="Segoe UI" w:hAnsi="Segoe UI" w:cs="Segoe UI"/>
        </w:rPr>
        <w:t>Improve product availability and distribution efficiency in under-performing regions to support market expansion opportunities</w:t>
      </w:r>
      <w:r w:rsidR="00223BF0">
        <w:rPr>
          <w:rFonts w:ascii="Segoe UI" w:hAnsi="Segoe UI" w:cs="Segoe UI"/>
          <w:sz w:val="24"/>
          <w:szCs w:val="24"/>
        </w:rPr>
        <w:t>.</w:t>
      </w:r>
    </w:p>
    <w:p w14:paraId="518D868F" w14:textId="77777777" w:rsidR="00843ABE" w:rsidRDefault="00843ABE" w:rsidP="0050051D">
      <w:pPr>
        <w:rPr>
          <w:rFonts w:ascii="Segoe UI" w:hAnsi="Segoe UI" w:cs="Segoe UI"/>
          <w:sz w:val="24"/>
          <w:szCs w:val="24"/>
        </w:rPr>
      </w:pPr>
    </w:p>
    <w:p w14:paraId="4856F569" w14:textId="2FA1141E" w:rsidR="0050051D" w:rsidRPr="00843ABE" w:rsidRDefault="0050051D" w:rsidP="0050051D">
      <w:pPr>
        <w:rPr>
          <w:rFonts w:ascii="Segoe UI" w:hAnsi="Segoe UI" w:cs="Segoe UI"/>
          <w:sz w:val="28"/>
          <w:szCs w:val="28"/>
          <w:u w:val="single"/>
        </w:rPr>
      </w:pPr>
      <w:r w:rsidRPr="00843ABE">
        <w:rPr>
          <w:rFonts w:ascii="Segoe UI" w:hAnsi="Segoe UI" w:cs="Segoe UI"/>
          <w:b/>
          <w:bCs/>
          <w:sz w:val="32"/>
          <w:szCs w:val="32"/>
          <w:u w:val="single"/>
        </w:rPr>
        <w:t>Conclusion</w:t>
      </w:r>
    </w:p>
    <w:p w14:paraId="4C5DC22B" w14:textId="43EED32C" w:rsidR="00223BF0" w:rsidRPr="00223BF0" w:rsidRDefault="0050051D" w:rsidP="0050051D">
      <w:pPr>
        <w:rPr>
          <w:rFonts w:ascii="Segoe UI" w:hAnsi="Segoe UI" w:cs="Segoe UI"/>
        </w:rPr>
      </w:pPr>
      <w:r w:rsidRPr="00223BF0">
        <w:rPr>
          <w:rFonts w:ascii="Segoe UI" w:hAnsi="Segoe UI" w:cs="Segoe UI"/>
        </w:rPr>
        <w:t>The analysis revealed strong seasonal sales patterns, balanced category performance, and significant regional variations in customer demand. Technology emerged as the leading revenue-generating category, while Office Supplies demonstrated strong sales volume. Although several products generated high revenue, profitability analysis highlighted the importance of managing discounts and pricing strategies effectively.</w:t>
      </w:r>
    </w:p>
    <w:p w14:paraId="72BF2939" w14:textId="18D6AF51" w:rsidR="0050051D" w:rsidRPr="00223BF0" w:rsidRDefault="0050051D" w:rsidP="0050051D">
      <w:pPr>
        <w:rPr>
          <w:rFonts w:ascii="Segoe UI" w:hAnsi="Segoe UI" w:cs="Segoe UI"/>
          <w:sz w:val="20"/>
          <w:szCs w:val="20"/>
        </w:rPr>
      </w:pPr>
      <w:r w:rsidRPr="00223BF0">
        <w:rPr>
          <w:rFonts w:ascii="Segoe UI" w:hAnsi="Segoe UI" w:cs="Segoe UI"/>
        </w:rPr>
        <w:t>Overall, the dataset provided valuable business insights that can support strategic decision-making in sales optimization, regional expansion, customer targeting, and profitability improvement</w:t>
      </w:r>
      <w:r w:rsidRPr="00223BF0">
        <w:rPr>
          <w:rFonts w:ascii="Segoe UI" w:hAnsi="Segoe UI" w:cs="Segoe UI"/>
          <w:sz w:val="24"/>
          <w:szCs w:val="24"/>
        </w:rPr>
        <w:t>.</w:t>
      </w:r>
    </w:p>
    <w:sectPr w:rsidR="0050051D" w:rsidRPr="00223BF0" w:rsidSect="00E01200"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BBB2B" w14:textId="77777777" w:rsidR="00E10DFB" w:rsidRDefault="00E10DFB" w:rsidP="00843ABE">
      <w:pPr>
        <w:spacing w:after="0" w:line="240" w:lineRule="auto"/>
      </w:pPr>
      <w:r>
        <w:separator/>
      </w:r>
    </w:p>
  </w:endnote>
  <w:endnote w:type="continuationSeparator" w:id="0">
    <w:p w14:paraId="21CAFB18" w14:textId="77777777" w:rsidR="00E10DFB" w:rsidRDefault="00E10DFB" w:rsidP="0084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74B59" w14:textId="77777777" w:rsidR="00E10DFB" w:rsidRDefault="00E10DFB" w:rsidP="00843ABE">
      <w:pPr>
        <w:spacing w:after="0" w:line="240" w:lineRule="auto"/>
      </w:pPr>
      <w:r>
        <w:separator/>
      </w:r>
    </w:p>
  </w:footnote>
  <w:footnote w:type="continuationSeparator" w:id="0">
    <w:p w14:paraId="530DABEF" w14:textId="77777777" w:rsidR="00E10DFB" w:rsidRDefault="00E10DFB" w:rsidP="00843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4E6D"/>
    <w:multiLevelType w:val="hybridMultilevel"/>
    <w:tmpl w:val="DD86D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1B7E"/>
    <w:multiLevelType w:val="multilevel"/>
    <w:tmpl w:val="AD2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42C6"/>
    <w:multiLevelType w:val="hybridMultilevel"/>
    <w:tmpl w:val="B3042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AB6"/>
    <w:multiLevelType w:val="multilevel"/>
    <w:tmpl w:val="120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E44B3"/>
    <w:multiLevelType w:val="multilevel"/>
    <w:tmpl w:val="B82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3CD4"/>
    <w:multiLevelType w:val="multilevel"/>
    <w:tmpl w:val="BF2A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76659"/>
    <w:multiLevelType w:val="multilevel"/>
    <w:tmpl w:val="42C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526E9"/>
    <w:multiLevelType w:val="hybridMultilevel"/>
    <w:tmpl w:val="D9ECE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E084E"/>
    <w:multiLevelType w:val="hybridMultilevel"/>
    <w:tmpl w:val="8870B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8498D"/>
    <w:multiLevelType w:val="hybridMultilevel"/>
    <w:tmpl w:val="C0180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141E7"/>
    <w:multiLevelType w:val="hybridMultilevel"/>
    <w:tmpl w:val="01CA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221F2"/>
    <w:multiLevelType w:val="hybridMultilevel"/>
    <w:tmpl w:val="DDCEA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A15CA"/>
    <w:multiLevelType w:val="multilevel"/>
    <w:tmpl w:val="1D5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B2B62"/>
    <w:multiLevelType w:val="multilevel"/>
    <w:tmpl w:val="31C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E2A36"/>
    <w:multiLevelType w:val="multilevel"/>
    <w:tmpl w:val="343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52CEF"/>
    <w:multiLevelType w:val="multilevel"/>
    <w:tmpl w:val="1AD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625AC"/>
    <w:multiLevelType w:val="multilevel"/>
    <w:tmpl w:val="F8E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473DE"/>
    <w:multiLevelType w:val="multilevel"/>
    <w:tmpl w:val="ADA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D2F99"/>
    <w:multiLevelType w:val="multilevel"/>
    <w:tmpl w:val="761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C21E6"/>
    <w:multiLevelType w:val="multilevel"/>
    <w:tmpl w:val="55F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351E8"/>
    <w:multiLevelType w:val="multilevel"/>
    <w:tmpl w:val="E8F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274B1"/>
    <w:multiLevelType w:val="hybridMultilevel"/>
    <w:tmpl w:val="F16E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6"/>
  </w:num>
  <w:num w:numId="4">
    <w:abstractNumId w:val="17"/>
  </w:num>
  <w:num w:numId="5">
    <w:abstractNumId w:val="5"/>
  </w:num>
  <w:num w:numId="6">
    <w:abstractNumId w:val="3"/>
  </w:num>
  <w:num w:numId="7">
    <w:abstractNumId w:val="4"/>
  </w:num>
  <w:num w:numId="8">
    <w:abstractNumId w:val="12"/>
  </w:num>
  <w:num w:numId="9">
    <w:abstractNumId w:val="6"/>
  </w:num>
  <w:num w:numId="10">
    <w:abstractNumId w:val="18"/>
  </w:num>
  <w:num w:numId="11">
    <w:abstractNumId w:val="20"/>
  </w:num>
  <w:num w:numId="12">
    <w:abstractNumId w:val="13"/>
  </w:num>
  <w:num w:numId="13">
    <w:abstractNumId w:val="1"/>
  </w:num>
  <w:num w:numId="14">
    <w:abstractNumId w:val="19"/>
  </w:num>
  <w:num w:numId="15">
    <w:abstractNumId w:val="2"/>
  </w:num>
  <w:num w:numId="16">
    <w:abstractNumId w:val="9"/>
  </w:num>
  <w:num w:numId="17">
    <w:abstractNumId w:val="0"/>
  </w:num>
  <w:num w:numId="18">
    <w:abstractNumId w:val="7"/>
  </w:num>
  <w:num w:numId="19">
    <w:abstractNumId w:val="8"/>
  </w:num>
  <w:num w:numId="20">
    <w:abstractNumId w:val="10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1D"/>
    <w:rsid w:val="00223BF0"/>
    <w:rsid w:val="00263E67"/>
    <w:rsid w:val="002A5DBD"/>
    <w:rsid w:val="004F6C07"/>
    <w:rsid w:val="0050051D"/>
    <w:rsid w:val="00843ABE"/>
    <w:rsid w:val="00DA25D3"/>
    <w:rsid w:val="00E01200"/>
    <w:rsid w:val="00E1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A5A2"/>
  <w15:chartTrackingRefBased/>
  <w15:docId w15:val="{1E9B918C-FE0F-49FC-A1DC-CE502B03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0051D"/>
    <w:pPr>
      <w:ind w:left="720"/>
      <w:contextualSpacing/>
    </w:pPr>
  </w:style>
  <w:style w:type="table" w:styleId="TableGrid">
    <w:name w:val="Table Grid"/>
    <w:basedOn w:val="TableNormal"/>
    <w:uiPriority w:val="39"/>
    <w:rsid w:val="0026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63E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4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BE"/>
  </w:style>
  <w:style w:type="paragraph" w:styleId="Footer">
    <w:name w:val="footer"/>
    <w:basedOn w:val="Normal"/>
    <w:link w:val="FooterChar"/>
    <w:uiPriority w:val="99"/>
    <w:unhideWhenUsed/>
    <w:rsid w:val="0084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.</dc:creator>
  <cp:keywords/>
  <dc:description/>
  <cp:lastModifiedBy>Ankita .</cp:lastModifiedBy>
  <cp:revision>3</cp:revision>
  <dcterms:created xsi:type="dcterms:W3CDTF">2026-05-29T13:40:00Z</dcterms:created>
  <dcterms:modified xsi:type="dcterms:W3CDTF">2026-05-29T15:00:00Z</dcterms:modified>
</cp:coreProperties>
</file>