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818181"/>
          <w:sz w:val="48"/>
          <w:szCs w:val="48"/>
          <w:lang w:val="en-US"/>
        </w:rPr>
      </w:pPr>
      <w:r w:rsidRPr="00EF387B">
        <w:rPr>
          <w:rFonts w:ascii="Arial" w:hAnsi="Arial" w:cs="Arial"/>
          <w:b/>
          <w:bCs/>
          <w:color w:val="818181"/>
          <w:sz w:val="48"/>
          <w:szCs w:val="48"/>
          <w:lang w:val="en-US"/>
        </w:rPr>
        <w:t>In English</w:t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818181"/>
          <w:sz w:val="48"/>
          <w:szCs w:val="48"/>
          <w:lang w:val="en-US"/>
        </w:rPr>
      </w:pPr>
    </w:p>
    <w:p w:rsid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818181"/>
          <w:sz w:val="48"/>
          <w:szCs w:val="48"/>
          <w:lang w:val="en-US"/>
        </w:rPr>
      </w:pPr>
      <w:r w:rsidRPr="00EF387B">
        <w:rPr>
          <w:rFonts w:ascii="Arial" w:hAnsi="Arial" w:cs="Arial"/>
          <w:b/>
          <w:bCs/>
          <w:color w:val="818181"/>
          <w:sz w:val="48"/>
          <w:szCs w:val="48"/>
          <w:lang w:val="en-US"/>
        </w:rPr>
        <w:t>1 Introduction SSYK 2012</w:t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818181"/>
          <w:sz w:val="48"/>
          <w:szCs w:val="48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1.1 Background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Swedish Standard Classification of Occupations 2012 (SSYK 2012) is a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system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classifying and aggregating data about occupations in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administrative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registers or statistical surveys. An example of the use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SSYK is to classify people by the work they do and, as regards employment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agency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services, to classify job vacancies and job-seekers.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SSYK 2012 is an update of the previous classification of occupations SSYK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96, which it also replaces.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SSYK 2012 is based on the International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 of Occupations 2008 (ISCO-08), which is an update of its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predecessor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ISCO-88 and ISCO-88COM</w:t>
      </w:r>
      <w:r w:rsidR="005D6F8A" w:rsidRPr="005D6F8A">
        <w:rPr>
          <w:rFonts w:ascii="Palatino-Roman" w:hAnsi="Palatino-Roman" w:cs="Palatino-Roman"/>
          <w:color w:val="000000"/>
          <w:szCs w:val="22"/>
          <w:vertAlign w:val="superscript"/>
          <w:lang w:val="en-US"/>
        </w:rPr>
        <w:t>1</w:t>
      </w:r>
      <w:r w:rsidRPr="00EF387B">
        <w:rPr>
          <w:rFonts w:ascii="Palatino-Roman" w:hAnsi="Palatino-Roman" w:cs="Palatino-Roman"/>
          <w:color w:val="000000"/>
          <w:sz w:val="11"/>
          <w:szCs w:val="11"/>
          <w:lang w:val="en-US"/>
        </w:rPr>
        <w:t xml:space="preserve">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which in turn formed the basis of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SSYK 96.</w:t>
      </w:r>
      <w:proofErr w:type="gramEnd"/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1.2 ISCO-08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structure of ISCO-08 was established in December 2007 at a meeting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experts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organised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by the International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Organization (ILO) attended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employer, employee and governmental representatives. The update has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performed in accordance with the mandate adopted at the 17th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International Conference of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Statisticians (ICLS), arranged by the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ILO in 2003.</w:t>
      </w:r>
      <w:proofErr w:type="gramEnd"/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Globalisation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the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 has increased the demand for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internationally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comparable data about occupations for both statistical and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administrative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purposes. ISCO-08 aims to meet this need by: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providing an up-to-date and relevant basis for international reporting,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comparisons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exchange of information about occupations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serving as a model for the development of national and regional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occupations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being applicable to countries that are not developing their own national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occupations.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Much the same as ISCO-88, ISCO-08 is a hierarchical classification on four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levels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; 436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Unit groups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comprise the most detailed level, which can be</w:t>
      </w:r>
    </w:p>
    <w:p w:rsidR="00EF387B" w:rsidRPr="00EF387B" w:rsidRDefault="00EF387B" w:rsidP="00EF387B">
      <w:pPr>
        <w:overflowPunct/>
        <w:textAlignment w:val="auto"/>
        <w:rPr>
          <w:rFonts w:ascii="Palatino-Italic" w:hAnsi="Palatino-Italic" w:cs="Palatino-Italic"/>
          <w:i/>
          <w:iCs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aggregated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into 130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Minor groups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, into 43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Sub-major groups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and 10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Major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groups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The classification is based on similarities as regards skills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spellStart"/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specialisation</w:t>
      </w:r>
      <w:proofErr w:type="spellEnd"/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The changes made to the classification, despite being entitled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‘update’ and not a ‘revision’, are relatively substantial and affect many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categories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It has focused on clarifying ambiguities in the previous version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on adding new occupations to the classification, which has also been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adapted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today’s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market. This applies in particular to occupations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related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the environment, information and communication technology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(ICT) and jobs in the healthcare sector.</w:t>
      </w:r>
      <w:proofErr w:type="gramEnd"/>
    </w:p>
    <w:p w:rsidR="005D6F8A" w:rsidRPr="00EF387B" w:rsidRDefault="005D6F8A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t>________</w:t>
      </w:r>
    </w:p>
    <w:p w:rsidR="00EF387B" w:rsidRDefault="005D6F8A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r w:rsidRPr="005D6F8A">
        <w:rPr>
          <w:rFonts w:ascii="Palatino-Roman" w:hAnsi="Palatino-Roman" w:cs="Palatino-Roman"/>
          <w:color w:val="000000"/>
          <w:sz w:val="18"/>
          <w:szCs w:val="18"/>
          <w:vertAlign w:val="superscript"/>
          <w:lang w:val="en-US"/>
        </w:rPr>
        <w:t>1</w:t>
      </w: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t>I</w:t>
      </w:r>
      <w:r w:rsidR="00EF387B"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>SCO-88(COM) is the European Union’s version of ISCO-88</w:t>
      </w:r>
    </w:p>
    <w:p w:rsidR="005D6F8A" w:rsidRDefault="005D6F8A">
      <w:pPr>
        <w:overflowPunct/>
        <w:autoSpaceDE/>
        <w:autoSpaceDN/>
        <w:adjustRightInd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br w:type="page"/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lastRenderedPageBreak/>
        <w:t>Some of the most important changes in brief are: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Major group 1 (Managers)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has been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reorganised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The categories for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specialist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managers have been redefined while new categories for e.g.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managers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the trade sector and in the hotel and restaurant business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have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been added. The classification of managers into large/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mediumsized</w:t>
      </w:r>
      <w:proofErr w:type="spellEnd"/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enterprises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into small enterprises has been removed as has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strict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classification by industry. Greater importance is instead attached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to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the functional role of managers.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In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Major group 2 (Professionals)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, the number of categories has increased,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which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depends both on the fact that the occupations have been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upgraded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moved from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Major group 3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, and on the fact that new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occupations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have been added. For example, all teachers, nurses,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physiotherapists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occupational therapists, opticians and musicians now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belong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this professional group. New occupations in ICT and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environment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have been added.</w:t>
      </w:r>
    </w:p>
    <w:p w:rsidR="00EF387B" w:rsidRPr="00EF387B" w:rsidRDefault="00EF387B" w:rsidP="00EF387B">
      <w:pPr>
        <w:overflowPunct/>
        <w:textAlignment w:val="auto"/>
        <w:rPr>
          <w:rFonts w:ascii="Palatino-Italic" w:hAnsi="Palatino-Italic" w:cs="Palatino-Italic"/>
          <w:i/>
          <w:iCs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Major group 4 (Clerical support workers)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and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5 (Service and sales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workers</w:t>
      </w:r>
      <w:proofErr w:type="gramEnd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),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both of which include occupations that in many countries are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dominated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by women, have been given a more detailed level of</w:t>
      </w:r>
    </w:p>
    <w:p w:rsidR="00EF387B" w:rsidRPr="00EF387B" w:rsidRDefault="00EF387B" w:rsidP="00EF387B">
      <w:pPr>
        <w:overflowPunct/>
        <w:textAlignment w:val="auto"/>
        <w:rPr>
          <w:rFonts w:ascii="Palatino-Italic" w:hAnsi="Palatino-Italic" w:cs="Palatino-Italic"/>
          <w:i/>
          <w:iCs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. Jobs in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Major group 8 (Plant and machine operators,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assemblers</w:t>
      </w:r>
      <w:proofErr w:type="gramEnd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)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, that are often dominated by men, have on the other hand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allotted a less detailed level.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New categories for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supervisors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. According to ISCO 88, supervisors are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reported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together with subordinate staff, on the assumption that they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often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participate in operative tasks. In ISCO 08, the fact that certain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supervisor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jobs include entirely or partly different working tasks has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considered. In order to differentiate these, separate occupational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groups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have been created for supervisors in the mining industry,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manufacturing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building and construction, offices, retailing and hotels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housekeeping. Other supervisors are, as previously, classified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together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with subordinate staff.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ISCO-08 is not primarily intended as a replacement for existing national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systems. A standard classification of occupations should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preferably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reflect the various jobs available on the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 of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country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question. A country that has a classification of occupations that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closely associated with ISCO-08 in contexts and structure, will on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other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hand obtain statistics that are easier to compare internationally.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Many countries, including Sweden, have chosen to develop a new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occupations based on ISCO-08, but there are also examples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of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countries with classifications that have a different structure and apply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different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basic principles. Such countries have instead devised a conversion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key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ISCO-08.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1.3 EU regulations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European Commission recommends the Member States to use ISCO-08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their reporting from all the surveys included in the European Statistics</w:t>
      </w:r>
    </w:p>
    <w:p w:rsidR="00EF387B" w:rsidRPr="00EF387B" w:rsidRDefault="00EF387B" w:rsidP="00EF387B">
      <w:pPr>
        <w:overflowPunct/>
        <w:textAlignment w:val="auto"/>
        <w:rPr>
          <w:rFonts w:ascii="Palatino-Italic" w:hAnsi="Palatino-Italic" w:cs="Palatino-Italic"/>
          <w:i/>
          <w:iCs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System (EC No 824/2009) For the </w:t>
      </w:r>
      <w:proofErr w:type="spellStart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 Force Survey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(LFS),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Survey on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Income and Living Conditions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(EU-SILC),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Structure of Earnings Survey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other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surveys, there is a mandatory regulation (EC 1022/2009). International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statistics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reporting is normally done on the two- or three-digit level.</w:t>
      </w:r>
    </w:p>
    <w:p w:rsidR="00EF387B" w:rsidRPr="00EF387B" w:rsidRDefault="00EF387B" w:rsidP="00EF387B">
      <w:pPr>
        <w:overflowPunct/>
        <w:autoSpaceDE/>
        <w:autoSpaceDN/>
        <w:adjustRightInd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1.4 Revision work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To facilitate the implementation of ISCO-08, the Statistical Office of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European Communities, Eurostat, gave the Member States the option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applying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financial support. In October 2009, Statistics Sweden was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granted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funding to perform a pre-study on how Sweden could best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implement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ISCO-08, whereupon a project group was formed. The project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was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divided into several stages, the first of which involved translating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structure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definitions in ISCO-08 into Swedish. The second stage was 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all occupational titles in Statistics Sweden’s Swedish index in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accordance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with ISCO-08 and to create a conversion key between SSYK 96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ISCO-08. In addition, two seminars were held with colleagues from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national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statistics offices in Norway and Finland. The project came to an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November 2010.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Parallel to this work, there was an ongoing dialogue with various users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other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stakeholders. In February 2010, an initial letter was sent out 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external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users, asking them for their opinion on whether the SSYK should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revised and if so, when? The responses gave a uniform picture; Much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SSYK 96 was seen as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obsolete,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ISCO-08 reflected the current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much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better. The majority of users were also very keen to see a prompt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revision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SSYK, as national adjustments were seen to be necessary.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During the first six months of 2010, a report was compiled on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consequences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Sweden of updating ISCO-88 (Statistics Sweden 2010).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This report, intended to serve as a basis for an update of SSYK, was also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sent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the relevant employer and employee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organisations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agencies,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researchers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analysts.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In September 2010, Statistics Sweden and the Swedish Public Employment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Service launched a joint project to update SSYK. A joint project group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steering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group were set up. During the course of the project, a large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number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stakeholders have had the opportunity to submit comments and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proposals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improvement.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A first draft of a new structure was presented in May 2011. The draft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explained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which considerations had been made and which requests could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not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 met (Statistics Sweden 2011). Work on the structure, names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categories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definitions, indices and conversions keys has continued up until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March 2012 after further contact with experts and stakeholders.</w:t>
      </w:r>
      <w:proofErr w:type="gramEnd"/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1.5 National adjustments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objective of the SSYK update has been to create a classification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occupations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that reflects the Swedish occupational structure, while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attempting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satisfy the requirements for international reporting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comparability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as far as possible. So as not to lose the comparability with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ISCO, the aim has been to avoid moving occupational groups to another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skill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level. Occupational categories primarily intended for developing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countries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have been excluded. To ensure the classification is as close 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ISCO-08 as possible, the numerical series have followed the international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structure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as far as possible. This means that occupational groups on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three-digit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level, empty as a result of Swedish adjustments, have been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deleted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constitute gaps, instead of the series being filled in.</w:t>
      </w:r>
    </w:p>
    <w:p w:rsidR="00EF387B" w:rsidRDefault="00EF387B">
      <w:pPr>
        <w:overflowPunct/>
        <w:autoSpaceDE/>
        <w:autoSpaceDN/>
        <w:adjustRightInd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lastRenderedPageBreak/>
        <w:t>ISCO-08, which forms the basis of the SSYK update, is primarily designed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so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that it reports occupational statistics on an overarching level from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population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censuses and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force surveys. The Swedish version,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however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also currently covers: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wage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salary structure statistics and other statistical studies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job vacancies and job seekers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registration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occupational accidents, injuries or illnesses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application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work permits in Sweden.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 applications like this also put various requirements on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which means that the end-result has to be a compromise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between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different needs.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Swedish adjustments are based on both experience gained from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application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SSYK 96 and the comments received from various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stakeholders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connection with the revision work or on an earlier occasion.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changes made to SSYK are warranted primarily for statistical reasons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(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pay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differentials, gender equality), better job matching and international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reporting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requirements.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It has not been possible to satisfy all the requests received from various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stakeholders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There is little point in having a greater level of detail in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for example, if it is achieved at the expense of quality. The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working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group has based these considerations on the following criteria: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If it is not possible to create a clear distinction between different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occupations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so that it is obvious how interviewers, employers and jobseekers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classify the occupation, the preconditions will not be in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place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create occupational statistics of acceptable quality.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From a matching point of view, it is not relevant to create as many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detailed occupational categories as possible.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An occupational group or an occupation performed by very few people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cannot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 reported separately in Statistics Sweden’s sample surveys, e.g.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force surveys or wage and salary structure statistics.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The adjustments to the Swedish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 (in relation to ISCO-08)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mainly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consist of: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of managers, including an additional breakdown into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two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different levels of responsibility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Sub-major group 21 (Occupations requiring an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advanced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 of higher education in science and engineering)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healthcare, mainly for nurses and for health and care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personnel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Major group 5 (Service, care and shop sales workers)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for university and higher education teachers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the legal field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the social field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rearrangement of the categories in Major group 4 (Service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administration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clerks)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fewer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Major group 6 (Agricultural, horticultural, forestry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fishery workers)</w:t>
      </w:r>
    </w:p>
    <w:p w:rsidR="00D868D7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D868D7" w:rsidRDefault="00D868D7">
      <w:pPr>
        <w:overflowPunct/>
        <w:autoSpaceDE/>
        <w:autoSpaceDN/>
        <w:adjustRightInd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lastRenderedPageBreak/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fewer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Major group 7 (Building and manufacturing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workers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)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Major group 8 (Mechanical manufacturing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transport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workers, etc.)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fewer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in Major group 9 (Elementary occupations).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As regards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police officers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, it has not been possible to follow ISCO’s intentions</w:t>
      </w:r>
    </w:p>
    <w:p w:rsidR="00EF387B" w:rsidRPr="00EF387B" w:rsidRDefault="00EF387B" w:rsidP="00EF387B">
      <w:pPr>
        <w:overflowPunct/>
        <w:textAlignment w:val="auto"/>
        <w:rPr>
          <w:rFonts w:ascii="Palatino-Italic" w:hAnsi="Palatino-Italic" w:cs="Palatino-Italic"/>
          <w:i/>
          <w:iCs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to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distinguish between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3355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(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Police inspectors and detectives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and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5412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(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Police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officers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). The educational and skills requirements for the majority of Swedish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police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officers are very similar. In the Swedish version, all police officers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therefore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categorised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(excluding managers) under Major group 3.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Italic" w:hAnsi="Palatino-Italic" w:cs="Palatino-Italic"/>
          <w:i/>
          <w:iCs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According to ISCO, all work in the armed forces belongs to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Major group 0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(Armed forces occupations).</w:t>
      </w:r>
      <w:proofErr w:type="gramEnd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According to SSYK 2012 jobs in the armed forces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that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have a civilian equivalent are to be moved to their respective category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Major groups 2-9.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overview of the classification structure in English follows ISCO-08 as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far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as possible but is not a direct translation of the Swedish headings.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1.6 Relationships to others standards and</w:t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gramStart"/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occupational</w:t>
      </w:r>
      <w:proofErr w:type="gramEnd"/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systems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SSYK 2012 is an update of SSYK 96. The changes are significant; categories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have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been added, aggregated, divided up, moved or been deleted.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content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many categories remains unchanged, however, but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categories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themselves may have been given a new code and/or name. 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facilitate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comparisons over time, Statistics Sweden has developed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conversion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keys between SSYK 2012 and SSYK 96 (See Appendices 1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2).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conversion key in Appendix 3 can be used for international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reporting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accordance with ISCO-08 on the three-digit level. The</w:t>
      </w:r>
    </w:p>
    <w:p w:rsidR="00EF387B" w:rsidRPr="005D6F8A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conversion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keys can also be found online at: </w:t>
      </w:r>
      <w:r w:rsidRPr="00EF387B">
        <w:rPr>
          <w:rFonts w:ascii="Palatino-Roman" w:hAnsi="Palatino-Roman" w:cs="Palatino-Roman"/>
          <w:color w:val="0000FF"/>
          <w:szCs w:val="22"/>
          <w:lang w:val="en-US"/>
        </w:rPr>
        <w:t>www.scb.se/ssyk</w:t>
      </w:r>
      <w:r w:rsidR="00D868D7" w:rsidRPr="00EF387B">
        <w:rPr>
          <w:rFonts w:ascii="Palatino-Roman" w:hAnsi="Palatino-Roman" w:cs="Palatino-Roman"/>
          <w:color w:val="000000"/>
          <w:szCs w:val="22"/>
          <w:lang w:val="en-US"/>
        </w:rPr>
        <w:t>.</w:t>
      </w:r>
      <w:r w:rsidR="005D6F8A" w:rsidRPr="005D6F8A">
        <w:rPr>
          <w:rFonts w:ascii="Palatino-Roman" w:hAnsi="Palatino-Roman" w:cs="Palatino-Roman"/>
          <w:color w:val="000000"/>
          <w:szCs w:val="22"/>
          <w:vertAlign w:val="superscript"/>
          <w:lang w:val="en-US"/>
        </w:rPr>
        <w:t>2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In order to satisfy the needs of the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 parties to shed light on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wage and salary structure, occupational terminologies that follows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various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sectors and the agreements drawn up between employers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workers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representatives have been used on the Swedish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 for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long time. Each nomenclature covers only those occupations 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employment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positions that are in the relevant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 sector, albeit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significantly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more detailed than SSYK. Concerning data collection for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salary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statistics and the occupational register, the classification has been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performed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accordance to a relevant occupational nomenclature, which is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converted to SSYK using a conversion key.</w:t>
      </w:r>
    </w:p>
    <w:p w:rsidR="005D6F8A" w:rsidRDefault="005D6F8A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D868D7" w:rsidRPr="00EF387B" w:rsidRDefault="005D6F8A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t>________</w:t>
      </w:r>
    </w:p>
    <w:p w:rsidR="00EF387B" w:rsidRDefault="005D6F8A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proofErr w:type="gramStart"/>
      <w:r w:rsidRPr="005D6F8A">
        <w:rPr>
          <w:rFonts w:ascii="Palatino-Roman" w:hAnsi="Palatino-Roman" w:cs="Palatino-Roman"/>
          <w:color w:val="000000"/>
          <w:sz w:val="18"/>
          <w:szCs w:val="18"/>
          <w:vertAlign w:val="superscript"/>
          <w:lang w:val="en-US"/>
        </w:rPr>
        <w:t>2</w:t>
      </w: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t>O</w:t>
      </w:r>
      <w:r w:rsidR="00EF387B"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>nly in Swedish</w:t>
      </w:r>
      <w:r w:rsidR="005503F8">
        <w:rPr>
          <w:rFonts w:ascii="Palatino-Roman" w:hAnsi="Palatino-Roman" w:cs="Palatino-Roman"/>
          <w:color w:val="000000"/>
          <w:sz w:val="18"/>
          <w:szCs w:val="18"/>
          <w:lang w:val="en-US"/>
        </w:rPr>
        <w:t>.</w:t>
      </w:r>
      <w:proofErr w:type="gramEnd"/>
    </w:p>
    <w:p w:rsidR="00D868D7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</w:p>
    <w:p w:rsidR="00D868D7" w:rsidRDefault="00D868D7">
      <w:pPr>
        <w:overflowPunct/>
        <w:autoSpaceDE/>
        <w:autoSpaceDN/>
        <w:adjustRightInd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818181"/>
          <w:sz w:val="48"/>
          <w:szCs w:val="48"/>
          <w:lang w:val="en-US"/>
        </w:rPr>
      </w:pPr>
      <w:r w:rsidRPr="00EF387B">
        <w:rPr>
          <w:rFonts w:ascii="Arial" w:hAnsi="Arial" w:cs="Arial"/>
          <w:b/>
          <w:bCs/>
          <w:color w:val="818181"/>
          <w:sz w:val="48"/>
          <w:szCs w:val="48"/>
          <w:lang w:val="en-US"/>
        </w:rPr>
        <w:lastRenderedPageBreak/>
        <w:t>2 Structure and fundamental</w:t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818181"/>
          <w:sz w:val="48"/>
          <w:szCs w:val="48"/>
          <w:lang w:val="en-US"/>
        </w:rPr>
      </w:pPr>
      <w:proofErr w:type="gramStart"/>
      <w:r w:rsidRPr="00EF387B">
        <w:rPr>
          <w:rFonts w:ascii="Arial" w:hAnsi="Arial" w:cs="Arial"/>
          <w:b/>
          <w:bCs/>
          <w:color w:val="818181"/>
          <w:sz w:val="48"/>
          <w:szCs w:val="48"/>
          <w:lang w:val="en-US"/>
        </w:rPr>
        <w:t>principles</w:t>
      </w:r>
      <w:proofErr w:type="gramEnd"/>
      <w:r w:rsidRPr="00EF387B">
        <w:rPr>
          <w:rFonts w:ascii="Arial" w:hAnsi="Arial" w:cs="Arial"/>
          <w:b/>
          <w:bCs/>
          <w:color w:val="818181"/>
          <w:sz w:val="48"/>
          <w:szCs w:val="48"/>
          <w:lang w:val="en-US"/>
        </w:rPr>
        <w:t>:</w:t>
      </w:r>
    </w:p>
    <w:p w:rsidR="00D868D7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structure and underlying principles in SSYK 2012 are to all intents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purposes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unchanged compared to SSYK 96. The number of categories on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each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 is shown in the following table:</w:t>
      </w:r>
    </w:p>
    <w:p w:rsidR="005503F8" w:rsidRDefault="005503F8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tbl>
      <w:tblPr>
        <w:tblStyle w:val="Tabellrutnt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275"/>
        <w:gridCol w:w="1276"/>
        <w:gridCol w:w="1276"/>
      </w:tblGrid>
      <w:tr w:rsidR="005503F8" w:rsidTr="00333619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5503F8" w:rsidRDefault="005503F8" w:rsidP="00EF387B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Level/Code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SSYK 96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SSYK 2012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ISCO 08</w:t>
            </w:r>
          </w:p>
        </w:tc>
      </w:tr>
      <w:tr w:rsidR="005503F8" w:rsidTr="00333619">
        <w:tc>
          <w:tcPr>
            <w:tcW w:w="3369" w:type="dxa"/>
            <w:tcBorders>
              <w:top w:val="single" w:sz="4" w:space="0" w:color="auto"/>
            </w:tcBorders>
          </w:tcPr>
          <w:p w:rsidR="005503F8" w:rsidRDefault="005503F8" w:rsidP="00EF387B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Major group/Single-digit level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10</w:t>
            </w:r>
          </w:p>
        </w:tc>
      </w:tr>
      <w:tr w:rsidR="005503F8" w:rsidTr="00333619">
        <w:tc>
          <w:tcPr>
            <w:tcW w:w="3369" w:type="dxa"/>
          </w:tcPr>
          <w:p w:rsidR="005503F8" w:rsidRDefault="005503F8" w:rsidP="00EF387B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Sub-major group/Two-digit level</w:t>
            </w:r>
          </w:p>
        </w:tc>
        <w:tc>
          <w:tcPr>
            <w:tcW w:w="1275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27</w:t>
            </w:r>
          </w:p>
        </w:tc>
        <w:tc>
          <w:tcPr>
            <w:tcW w:w="1276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46</w:t>
            </w:r>
          </w:p>
        </w:tc>
        <w:tc>
          <w:tcPr>
            <w:tcW w:w="1276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43</w:t>
            </w:r>
          </w:p>
        </w:tc>
      </w:tr>
      <w:tr w:rsidR="005503F8" w:rsidTr="00333619">
        <w:tc>
          <w:tcPr>
            <w:tcW w:w="3369" w:type="dxa"/>
          </w:tcPr>
          <w:p w:rsidR="005503F8" w:rsidRDefault="005503F8" w:rsidP="00EF387B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Minor group/Three-digit level</w:t>
            </w:r>
          </w:p>
        </w:tc>
        <w:tc>
          <w:tcPr>
            <w:tcW w:w="1275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113</w:t>
            </w:r>
          </w:p>
        </w:tc>
        <w:tc>
          <w:tcPr>
            <w:tcW w:w="1276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147</w:t>
            </w:r>
            <w:r w:rsidRPr="005503F8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n-US"/>
              </w:rPr>
              <w:t>3</w:t>
            </w:r>
          </w:p>
        </w:tc>
        <w:tc>
          <w:tcPr>
            <w:tcW w:w="1276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130</w:t>
            </w:r>
          </w:p>
        </w:tc>
      </w:tr>
      <w:tr w:rsidR="005503F8" w:rsidTr="00333619">
        <w:tc>
          <w:tcPr>
            <w:tcW w:w="3369" w:type="dxa"/>
          </w:tcPr>
          <w:p w:rsidR="005503F8" w:rsidRDefault="005503F8" w:rsidP="00EF387B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Unit groups/Four-digit level</w:t>
            </w:r>
          </w:p>
        </w:tc>
        <w:tc>
          <w:tcPr>
            <w:tcW w:w="1275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355</w:t>
            </w:r>
          </w:p>
        </w:tc>
        <w:tc>
          <w:tcPr>
            <w:tcW w:w="1276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429</w:t>
            </w:r>
            <w:r w:rsidRPr="005503F8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n-US"/>
              </w:rPr>
              <w:t>4</w:t>
            </w:r>
          </w:p>
        </w:tc>
        <w:tc>
          <w:tcPr>
            <w:tcW w:w="1276" w:type="dxa"/>
          </w:tcPr>
          <w:p w:rsidR="005503F8" w:rsidRDefault="005503F8" w:rsidP="005503F8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20"/>
                <w:lang w:val="en-US"/>
              </w:rPr>
              <w:t>436</w:t>
            </w:r>
          </w:p>
        </w:tc>
      </w:tr>
    </w:tbl>
    <w:p w:rsidR="005503F8" w:rsidRDefault="005503F8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Example: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Major group: 5 Service and shop sales workers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Sub-major group: 53 Personal care workers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Minor group: 531 Child minders and teachers aids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Unit group: 5311 Child care workers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The fundamental concepts on which the classification is based are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job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qualifications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These are essentially defined in the same way as in ISCO-08.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2.1 Definition of job and occupation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A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job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is defined as a set of tasks and duties performed or meant to be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performed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by a person who is employed or self-employed.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The concept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of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occupation refers to the type of work performed. A number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of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different jobs with similar tasks and duties constitutes an occupation.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Example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: A job can consist of driving a bus between airport terminals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aircraft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, another of driving a coach between the airport and the city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centre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while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 third might be driving a school bus. Three separate jobs with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slightly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different conditions but the occupation is the same - bus driver.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same person can be associated with an occupation through the job he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she has at present, has had previously or is seeking to have in the future.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classification attaches no or little weight to a person’s formal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education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his or her employment status (employed/self-employed) or the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enterprise’s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industry and size.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2.2 Skill level and skill </w:t>
      </w:r>
      <w:proofErr w:type="spellStart"/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specialisation</w:t>
      </w:r>
      <w:proofErr w:type="spellEnd"/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Skills, defined as the knowledge and expertise needed to perform the tasks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duties attached to a given occupation, have two dimensions: skill level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skill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specialisation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Skill level is mainly used as the criterion on</w:t>
      </w:r>
    </w:p>
    <w:p w:rsidR="00D868D7" w:rsidRPr="00EF387B" w:rsidRDefault="00D868D7" w:rsidP="00D868D7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one-digit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level, while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specialisation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 often the guiding principle on the</w:t>
      </w:r>
    </w:p>
    <w:p w:rsidR="00D868D7" w:rsidRPr="00EF387B" w:rsidRDefault="00D868D7" w:rsidP="00D868D7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detailed sub-levels.</w:t>
      </w:r>
    </w:p>
    <w:p w:rsidR="00D868D7" w:rsidRPr="00EF387B" w:rsidRDefault="005503F8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t>__________</w:t>
      </w:r>
    </w:p>
    <w:p w:rsidR="00EF387B" w:rsidRPr="00EF387B" w:rsidRDefault="005D6F8A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r w:rsidRPr="005D6F8A">
        <w:rPr>
          <w:rFonts w:ascii="Palatino-Roman" w:hAnsi="Palatino-Roman" w:cs="Palatino-Roman"/>
          <w:color w:val="000000"/>
          <w:sz w:val="18"/>
          <w:szCs w:val="18"/>
          <w:vertAlign w:val="superscript"/>
          <w:lang w:val="en-US"/>
        </w:rPr>
        <w:t>3</w:t>
      </w: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t>T</w:t>
      </w:r>
      <w:r w:rsidR="00EF387B"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>he categories for Nurses comprise two minor groups.</w:t>
      </w:r>
    </w:p>
    <w:p w:rsidR="00EF387B" w:rsidRPr="00EF387B" w:rsidRDefault="005D6F8A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r w:rsidRPr="005D6F8A">
        <w:rPr>
          <w:rFonts w:ascii="Palatino-Roman" w:hAnsi="Palatino-Roman" w:cs="Palatino-Roman"/>
          <w:color w:val="000000"/>
          <w:sz w:val="18"/>
          <w:szCs w:val="18"/>
          <w:vertAlign w:val="superscript"/>
          <w:lang w:val="en-US"/>
        </w:rPr>
        <w:t>4</w:t>
      </w: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t>T</w:t>
      </w:r>
      <w:r w:rsidR="00EF387B"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>he number of unit groups is based on the proposed recommendation for a breakdown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>into</w:t>
      </w:r>
      <w:proofErr w:type="gramEnd"/>
      <w:r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 xml:space="preserve"> two levels of managerial responsibility.</w:t>
      </w:r>
    </w:p>
    <w:p w:rsidR="00D868D7" w:rsidRDefault="00D868D7">
      <w:pPr>
        <w:overflowPunct/>
        <w:autoSpaceDE/>
        <w:autoSpaceDN/>
        <w:adjustRightInd/>
        <w:textAlignment w:val="auto"/>
        <w:rPr>
          <w:rFonts w:ascii="Palatino-Italic" w:hAnsi="Palatino-Italic" w:cs="Palatino-Italic"/>
          <w:i/>
          <w:iCs/>
          <w:color w:val="000000"/>
          <w:sz w:val="20"/>
          <w:lang w:val="en-US"/>
        </w:rPr>
      </w:pPr>
      <w:r>
        <w:rPr>
          <w:rFonts w:ascii="Palatino-Italic" w:hAnsi="Palatino-Italic" w:cs="Palatino-Italic"/>
          <w:i/>
          <w:iCs/>
          <w:color w:val="000000"/>
          <w:sz w:val="20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>2.2.1 Skill level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Skill level reflects the type of working tasks and their complexity. It is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applied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operationally by considering one or more of the following aspects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when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classifying an occupation: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tasks involved in the occupation compared with those described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under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different Major groups with their associated skill level.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length of formal education that is normal for the occupation,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defined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accordance with the International Classification of Education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ISCED-97</w:t>
      </w:r>
      <w:r w:rsidR="005D6F8A" w:rsidRPr="005D6F8A">
        <w:rPr>
          <w:rFonts w:ascii="Palatino-Roman" w:hAnsi="Palatino-Roman" w:cs="Palatino-Roman"/>
          <w:color w:val="000000"/>
          <w:szCs w:val="22"/>
          <w:lang w:val="en-US"/>
        </w:rPr>
        <w:t>.</w:t>
      </w:r>
      <w:r w:rsidR="005D6F8A" w:rsidRPr="005D6F8A">
        <w:rPr>
          <w:rFonts w:ascii="Palatino-Roman" w:hAnsi="Palatino-Roman" w:cs="Palatino-Roman"/>
          <w:color w:val="000000"/>
          <w:szCs w:val="22"/>
          <w:vertAlign w:val="superscript"/>
          <w:lang w:val="en-US"/>
        </w:rPr>
        <w:t>5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working life experience and amount of informal training required in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occupation.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To facilitate international comparisons, the first of these three criteria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weighs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heavier than formal education and working life experience. Formal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education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 only to be seen as one of several components that indicate a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skill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level; knowledge and expertise needed in an occupation may also have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been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gained through professional experience. As the length of formal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education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tends to be extended, it may also be difficult to clarify what is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normal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an occupation.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It should be observed that what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referred to here are the skills that are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normal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an occupation, which do not necessarily tally with the skills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possessed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by the employee who is performing the job.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Since SSYK 2012 is based on an international classification, only four broad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skill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levels have been defined: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Level 1 corresponds to ISCED 97.-97 Level 1, which covers elementary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education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at primary school level. Translated into a Swedish context,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this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means no or a low formal education requirements.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Level 2 corresponds to ISCED 97.-97 Level 2–4, which covers education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spellStart"/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programmes</w:t>
      </w:r>
      <w:proofErr w:type="spellEnd"/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at upper secondary and tertiary level of no more than 2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years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length.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Level 3 corresponds to ISCED 97 Level 5b, which covers practical 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vocational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tertiary education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programmes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2-3 years in length.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Level 4 corresponds to ISCED 97 Level 5a-6, which covers theoretical 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research-oriented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tertiary education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programmes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third-cycle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spellStart"/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programmes</w:t>
      </w:r>
      <w:proofErr w:type="spellEnd"/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at least 3 years, normally 4 years or longer in length.</w:t>
      </w:r>
    </w:p>
    <w:p w:rsidR="00D868D7" w:rsidRPr="00EF387B" w:rsidRDefault="005C360C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t>________</w:t>
      </w:r>
    </w:p>
    <w:p w:rsidR="00EF387B" w:rsidRPr="00EF387B" w:rsidRDefault="005C360C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proofErr w:type="gramStart"/>
      <w:r w:rsidRPr="005C360C">
        <w:rPr>
          <w:rFonts w:ascii="Palatino-Roman" w:hAnsi="Palatino-Roman" w:cs="Palatino-Roman"/>
          <w:color w:val="000000"/>
          <w:sz w:val="18"/>
          <w:szCs w:val="18"/>
          <w:vertAlign w:val="superscript"/>
          <w:lang w:val="en-US"/>
        </w:rPr>
        <w:t>5</w:t>
      </w: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t>Inte</w:t>
      </w:r>
      <w:r w:rsidR="00EF387B"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>rnational Standard Classification of Education, UNESCO 1997.</w:t>
      </w:r>
      <w:proofErr w:type="gramEnd"/>
    </w:p>
    <w:p w:rsidR="00D868D7" w:rsidRDefault="00D868D7">
      <w:pPr>
        <w:overflowPunct/>
        <w:autoSpaceDE/>
        <w:autoSpaceDN/>
        <w:adjustRightInd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br w:type="page"/>
      </w:r>
    </w:p>
    <w:p w:rsidR="00333619" w:rsidRDefault="00333619" w:rsidP="00333619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lastRenderedPageBreak/>
        <w:t>The Major groups in SSYK 2012 are associated with the following skill</w:t>
      </w:r>
    </w:p>
    <w:p w:rsidR="00333619" w:rsidRPr="00EF387B" w:rsidRDefault="00333619" w:rsidP="00333619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levels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:</w:t>
      </w:r>
    </w:p>
    <w:p w:rsidR="00333619" w:rsidRDefault="00333619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tbl>
      <w:tblPr>
        <w:tblStyle w:val="Tabellrutnt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962"/>
        <w:gridCol w:w="1109"/>
      </w:tblGrid>
      <w:tr w:rsidR="00333619" w:rsidTr="00535879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33619" w:rsidRPr="00EF387B" w:rsidRDefault="00333619" w:rsidP="00333619">
            <w:pPr>
              <w:overflowPunct/>
              <w:textAlignment w:val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Major group/</w:t>
            </w:r>
          </w:p>
          <w:p w:rsidR="00333619" w:rsidRDefault="00333619" w:rsidP="00333619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Sub-group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Name</w:t>
            </w:r>
          </w:p>
          <w:p w:rsidR="00535879" w:rsidRDefault="0053587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33619" w:rsidRDefault="00333619" w:rsidP="00333619">
            <w:pPr>
              <w:overflowPunct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Skill level</w:t>
            </w:r>
          </w:p>
          <w:p w:rsidR="00535879" w:rsidRDefault="00535879" w:rsidP="0033361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</w:p>
        </w:tc>
      </w:tr>
      <w:tr w:rsidR="00333619" w:rsidTr="00535879">
        <w:tc>
          <w:tcPr>
            <w:tcW w:w="1242" w:type="dxa"/>
            <w:tcBorders>
              <w:top w:val="single" w:sz="4" w:space="0" w:color="auto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 (excl. 17)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Managers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</w:tcBorders>
          </w:tcPr>
          <w:p w:rsidR="00333619" w:rsidRDefault="00333619" w:rsidP="0033361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Operations managers in service industries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Occupations requiring advanced level of higher education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333619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Occupations requiring higher education qualifications or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equivalent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Administration and customer service clerks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Service, care and shop sales workers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Agricultural, horticultural, forestry and fishery workers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Building and manufacturing workers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Mechanical manufacturing and transport workers, etc.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33361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Elementary occupations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33361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53587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01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53587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Commissioned officers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53587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333619" w:rsidTr="00535879">
        <w:tc>
          <w:tcPr>
            <w:tcW w:w="1242" w:type="dxa"/>
            <w:tcBorders>
              <w:right w:val="nil"/>
            </w:tcBorders>
          </w:tcPr>
          <w:p w:rsidR="00333619" w:rsidRDefault="0053587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02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53587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Non-commissioned officers</w:t>
            </w:r>
          </w:p>
        </w:tc>
        <w:tc>
          <w:tcPr>
            <w:tcW w:w="1109" w:type="dxa"/>
            <w:tcBorders>
              <w:left w:val="nil"/>
            </w:tcBorders>
          </w:tcPr>
          <w:p w:rsidR="00333619" w:rsidRDefault="0053587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535879" w:rsidTr="00535879">
        <w:tc>
          <w:tcPr>
            <w:tcW w:w="1242" w:type="dxa"/>
            <w:tcBorders>
              <w:bottom w:val="single" w:sz="4" w:space="0" w:color="auto"/>
              <w:right w:val="nil"/>
            </w:tcBorders>
          </w:tcPr>
          <w:p w:rsidR="00333619" w:rsidRDefault="0053587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03</w:t>
            </w:r>
          </w:p>
        </w:tc>
        <w:tc>
          <w:tcPr>
            <w:tcW w:w="4962" w:type="dxa"/>
            <w:tcBorders>
              <w:left w:val="nil"/>
              <w:right w:val="nil"/>
            </w:tcBorders>
          </w:tcPr>
          <w:p w:rsidR="00333619" w:rsidRDefault="00535879" w:rsidP="00DF3F3E">
            <w:pPr>
              <w:overflowPunct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Other ranks (privates. etc.).</w:t>
            </w:r>
          </w:p>
        </w:tc>
        <w:tc>
          <w:tcPr>
            <w:tcW w:w="1109" w:type="dxa"/>
            <w:tcBorders>
              <w:left w:val="nil"/>
              <w:bottom w:val="single" w:sz="4" w:space="0" w:color="auto"/>
            </w:tcBorders>
          </w:tcPr>
          <w:p w:rsidR="00333619" w:rsidRDefault="00535879" w:rsidP="00535879">
            <w:pPr>
              <w:overflowPunct/>
              <w:jc w:val="right"/>
              <w:textAlignment w:val="auto"/>
              <w:rPr>
                <w:rFonts w:ascii="Palatino-Roman" w:hAnsi="Palatino-Roman" w:cs="Palatino-Roman"/>
                <w:color w:val="000000"/>
                <w:szCs w:val="22"/>
                <w:lang w:val="en-US"/>
              </w:rPr>
            </w:pPr>
            <w:r w:rsidRPr="00EF387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</w:tbl>
    <w:p w:rsidR="00333619" w:rsidRDefault="00333619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535879" w:rsidRDefault="00535879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2.2.2 </w:t>
      </w:r>
      <w:proofErr w:type="spellStart"/>
      <w:r w:rsidRPr="00EF387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Specialisation</w:t>
      </w:r>
      <w:proofErr w:type="spellEnd"/>
    </w:p>
    <w:p w:rsidR="00D868D7" w:rsidRPr="00EF387B" w:rsidRDefault="00D868D7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more detailed levels in SSYK 2012 are primarily based on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similarities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the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specialisation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required for a job. The following aspects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have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been considered: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required subject knowledge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tools, equipment and machines used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type of material processed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SymbolMT" w:hAnsi="SymbolMT" w:cs="SymbolMT"/>
          <w:color w:val="000000"/>
          <w:szCs w:val="22"/>
          <w:lang w:val="en-US"/>
        </w:rPr>
        <w:t xml:space="preserve">•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type of product or service produced.</w:t>
      </w:r>
    </w:p>
    <w:p w:rsidR="00D868D7" w:rsidRDefault="00D868D7" w:rsidP="00EF387B">
      <w:pPr>
        <w:overflowPunct/>
        <w:textAlignment w:val="auto"/>
        <w:rPr>
          <w:rFonts w:ascii="Palatino-Italic" w:hAnsi="Palatino-Italic" w:cs="Palatino-Italic"/>
          <w:i/>
          <w:iCs/>
          <w:color w:val="000000"/>
          <w:sz w:val="20"/>
          <w:lang w:val="en-US"/>
        </w:rPr>
      </w:pPr>
    </w:p>
    <w:p w:rsidR="00D868D7" w:rsidRDefault="00D868D7">
      <w:pPr>
        <w:overflowPunct/>
        <w:autoSpaceDE/>
        <w:autoSpaceDN/>
        <w:adjustRightInd/>
        <w:textAlignment w:val="auto"/>
        <w:rPr>
          <w:rFonts w:ascii="Palatino-Italic" w:hAnsi="Palatino-Italic" w:cs="Palatino-Italic"/>
          <w:i/>
          <w:iCs/>
          <w:color w:val="000000"/>
          <w:sz w:val="20"/>
          <w:lang w:val="en-US"/>
        </w:rPr>
      </w:pPr>
      <w:r>
        <w:rPr>
          <w:rFonts w:ascii="Palatino-Italic" w:hAnsi="Palatino-Italic" w:cs="Palatino-Italic"/>
          <w:i/>
          <w:iCs/>
          <w:color w:val="000000"/>
          <w:sz w:val="20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818181"/>
          <w:sz w:val="48"/>
          <w:szCs w:val="48"/>
          <w:lang w:val="en-US"/>
        </w:rPr>
      </w:pPr>
      <w:r w:rsidRPr="00EF387B">
        <w:rPr>
          <w:rFonts w:ascii="Arial" w:hAnsi="Arial" w:cs="Arial"/>
          <w:b/>
          <w:bCs/>
          <w:color w:val="818181"/>
          <w:sz w:val="48"/>
          <w:szCs w:val="48"/>
          <w:lang w:val="en-US"/>
        </w:rPr>
        <w:lastRenderedPageBreak/>
        <w:t>3 Description of the standard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SSYK 2012 is intended to cover all jobs on the Swedish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labour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market for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which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salary or other compensation is paid. Voluntary work is excluded,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but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it should be possible to classify unpaid work in the family business . In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principle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it should only be possible to classify any given job in one way.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classification covers the following ten broad occupational fields (Major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groups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):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1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Managers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2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Occupations requiring advanced level of higher education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3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Occupations requiring higher education qualifications or equivalent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4 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Administration and customer service clerks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5 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Service, care and shop sales workers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6 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Agricultural, horticultural, forestry and fishery workers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7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Building and manufacturing workers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8 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Mechanical manufacturing and transport workers, etc.</w:t>
      </w:r>
    </w:p>
    <w:p w:rsidR="00EF387B" w:rsidRP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9 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Elementary occupations</w:t>
      </w:r>
    </w:p>
    <w:p w:rsidR="00EF387B" w:rsidRDefault="00EF387B" w:rsidP="00535879">
      <w:pPr>
        <w:tabs>
          <w:tab w:val="left" w:pos="284"/>
        </w:tabs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0 </w:t>
      </w:r>
      <w:r w:rsidR="00535879">
        <w:rPr>
          <w:rFonts w:ascii="Palatino-Roman" w:hAnsi="Palatino-Roman" w:cs="Palatino-Roman"/>
          <w:color w:val="000000"/>
          <w:szCs w:val="22"/>
          <w:lang w:val="en-US"/>
        </w:rPr>
        <w:tab/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Armed forces occupations</w:t>
      </w:r>
      <w:bookmarkStart w:id="0" w:name="_GoBack"/>
      <w:bookmarkEnd w:id="0"/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3.1 Level of responsibility for managers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One request during the development of SSYK 2012 has been for Swedish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use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reflect levels of responsibility for managers.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The highest executive manager level, Sub-major group 11, in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organisations</w:t>
      </w:r>
      <w:proofErr w:type="spellEnd"/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with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managerial hierarchies follow the international proposal. A matrix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model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has been developed for other managers for Sub-major groups 12-17.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Three-digit codes are used to identify four-digit categories in accordance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with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ISCO-08 and Swedish adjustments. The fourth digit is used purely for: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1 = Department managers, or intermediate-level managers. Reporting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to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the managing director (MD) or equivalent.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2 = Line managers reporting to intermediate managers or managing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director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(MD) or equivalent. Highest manager in enterprises with no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managerial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hierarchy.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For certain categories, where there is reason to believe that no breakdown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into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different levels of responsibility is necessary or possible, the fourth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digit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 set to 0. In individual surveys, it is possible to choose beforehand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not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divide up managers into different levels of responsibility, In such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cases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the fourth digit for sub-major groups 12-17 is always set to 0.</w:t>
      </w:r>
    </w:p>
    <w:p w:rsidR="00D868D7" w:rsidRPr="00EF387B" w:rsidRDefault="00D868D7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matrix model makes it possible to use the nomenclature without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dividing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up into skill levels and still fulfil the requirements for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international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reporting.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3.2 Descriptions of occupations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A category is defined using an associated description. General descriptions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have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been developed for each major group, sub-major group, minor group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unit group. These descriptions do not however claim to describe all the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tasks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duties that may be included in an occupation. An associated</w:t>
      </w:r>
    </w:p>
    <w:p w:rsidR="009F303F" w:rsidRDefault="009F303F">
      <w:pPr>
        <w:overflowPunct/>
        <w:autoSpaceDE/>
        <w:autoSpaceDN/>
        <w:adjustRightInd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lastRenderedPageBreak/>
        <w:t>occupation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may include all or just some of the enumerated tasks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duties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Examples of occupations that belong or don’t belong to the category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have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been stipulated in order to clarify the boundaries between different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categories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Compared to SSYK 96, the descriptions of occupations for many of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remaining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categories have been updated. New definitions for newly added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occupations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have been developed.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Occupations that do not belong to a specific unit group are classified in a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residual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group (as and when appropriate). The name of a residual group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always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starts with the word “Other”, while the code finishes with a “9”.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3.3 Index of occupational titles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To facilitate classification, Statistics Sweden provides a list (index)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occupational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titles with their associated SSYK codes (see documents under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FF"/>
          <w:szCs w:val="22"/>
          <w:lang w:val="en-US"/>
        </w:rPr>
        <w:t>www.scb.se/ssyk</w:t>
      </w:r>
      <w:r w:rsidR="005C360C" w:rsidRPr="005C360C">
        <w:rPr>
          <w:rFonts w:ascii="Palatino-Roman" w:hAnsi="Palatino-Roman" w:cs="Palatino-Roman"/>
          <w:color w:val="000000"/>
          <w:szCs w:val="22"/>
          <w:vertAlign w:val="superscript"/>
          <w:lang w:val="en-US"/>
        </w:rPr>
        <w:t>6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). The index is regularly updated, but makes no claim 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include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all existing occupational titles. Since the same occupational title can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used to denote entirely different jobs depending on e.g. industry 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sector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such an index must always be used with a certain amount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caution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Information on main tasks and duties often improves the chances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of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 correct classification. Occupational titles cannot be used to define the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content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a category, but are only to be seen as an aid to coding.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3.4 Some application issues</w:t>
      </w:r>
    </w:p>
    <w:p w:rsidR="009F303F" w:rsidRDefault="009F303F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3.4.1 Managers and supervisors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In the Swedish update,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which follows the international update, the top</w:t>
      </w:r>
      <w:proofErr w:type="gramEnd"/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manager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 to be coded as 1120 Managing directors, etc., in enterprises that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are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large enough to have a managerial hierarchy. For enterprises that do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not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have a managerial hierarchy, the top manager is to be coded in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submajor</w:t>
      </w:r>
      <w:proofErr w:type="spellEnd"/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group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12-17 by business activity.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Differentiating between managers and supervisors can be problematic.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Both managers and supervisors plan, 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organise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coordinate, control and lead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work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performed by others. A crucial difference is that supervisors are only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responsible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for activities performed by other employees, whereas managers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under Major group 1 must have an overarching responsibility for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department/</w:t>
      </w:r>
      <w:proofErr w:type="spell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organisational</w:t>
      </w:r>
      <w:proofErr w:type="spell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unit in an enterprise. Furthermore, most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managers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are responsible for and take decisions on: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a)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overarching strategic and operative management of an enterprise or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spellStart"/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organisational</w:t>
      </w:r>
      <w:proofErr w:type="spellEnd"/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unit (e.g. type of product or service, quantity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quality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),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b)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budget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(how much money that is to be used and for what purposes),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c) </w:t>
      </w: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selection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hiring and firing of personnel.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It is not necessary for managers to be responsible for all three of these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areas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, as the degree of autonomy may vary.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Supervisors may give advice in these issues, especially when it comes 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personnel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issues, but don’t have authority to take decisions. They often</w:t>
      </w:r>
    </w:p>
    <w:p w:rsidR="005C360C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have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work experience of one of more of the jobs they supervise.</w:t>
      </w:r>
    </w:p>
    <w:p w:rsidR="005C360C" w:rsidRPr="00EF387B" w:rsidRDefault="005C360C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>
        <w:rPr>
          <w:rFonts w:ascii="Palatino-Roman" w:hAnsi="Palatino-Roman" w:cs="Palatino-Roman"/>
          <w:color w:val="000000"/>
          <w:szCs w:val="22"/>
          <w:lang w:val="en-US"/>
        </w:rPr>
        <w:t>________</w:t>
      </w:r>
    </w:p>
    <w:p w:rsidR="00EF387B" w:rsidRPr="00EF387B" w:rsidRDefault="005C360C" w:rsidP="00EF387B">
      <w:pPr>
        <w:overflowPunct/>
        <w:textAlignment w:val="auto"/>
        <w:rPr>
          <w:rFonts w:ascii="Palatino-Roman" w:hAnsi="Palatino-Roman" w:cs="Palatino-Roman"/>
          <w:color w:val="000000"/>
          <w:sz w:val="18"/>
          <w:szCs w:val="18"/>
          <w:lang w:val="en-US"/>
        </w:rPr>
      </w:pPr>
      <w:proofErr w:type="gramStart"/>
      <w:r w:rsidRPr="005C360C">
        <w:rPr>
          <w:rFonts w:ascii="Palatino-Roman" w:hAnsi="Palatino-Roman" w:cs="Palatino-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ascii="Palatino-Roman" w:hAnsi="Palatino-Roman" w:cs="Palatino-Roman"/>
          <w:color w:val="000000"/>
          <w:sz w:val="18"/>
          <w:szCs w:val="18"/>
          <w:lang w:val="en-US"/>
        </w:rPr>
        <w:t>O</w:t>
      </w:r>
      <w:r w:rsidR="00EF387B" w:rsidRPr="00EF387B">
        <w:rPr>
          <w:rFonts w:ascii="Palatino-Roman" w:hAnsi="Palatino-Roman" w:cs="Palatino-Roman"/>
          <w:color w:val="000000"/>
          <w:sz w:val="18"/>
          <w:szCs w:val="18"/>
          <w:lang w:val="en-US"/>
        </w:rPr>
        <w:t>nly in Swedish.</w:t>
      </w:r>
      <w:proofErr w:type="gramEnd"/>
    </w:p>
    <w:p w:rsidR="009F303F" w:rsidRDefault="009F303F">
      <w:pPr>
        <w:overflowPunct/>
        <w:autoSpaceDE/>
        <w:autoSpaceDN/>
        <w:adjustRightInd/>
        <w:textAlignment w:val="auto"/>
        <w:rPr>
          <w:rFonts w:ascii="Palatino-Italic" w:hAnsi="Palatino-Italic" w:cs="Palatino-Italic"/>
          <w:i/>
          <w:iCs/>
          <w:color w:val="000000"/>
          <w:sz w:val="20"/>
          <w:lang w:val="en-US"/>
        </w:rPr>
      </w:pPr>
      <w:r>
        <w:rPr>
          <w:rFonts w:ascii="Palatino-Italic" w:hAnsi="Palatino-Italic" w:cs="Palatino-Italic"/>
          <w:i/>
          <w:iCs/>
          <w:color w:val="000000"/>
          <w:sz w:val="20"/>
          <w:lang w:val="en-US"/>
        </w:rPr>
        <w:br w:type="page"/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lastRenderedPageBreak/>
        <w:t>Both ISCO-08 and SSYK 2012 have taken into account the fact that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supervisors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don’t always perform the same tasks as their subordinate staff.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following separate unit groups have therefore been created for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supervisors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in SSYK 2012: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3121 Construction, plant and mining supervisors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3122 Manufacturing supervisors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3341 Office supervisors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4321 Stock and warehouse supervisors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5151 Cleaning supervisors and head housekeepers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5221 Shop sales and shop department managers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Other supervisors are to be classified in the same category as subordinate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staff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>. Relevant tasks and duties in addition to coordination and control of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work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performed may include instructing new employees and sometimes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taking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part in day-to-day work.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3.4.2 Jobs with diversified working tasks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The following general rules may be applied where necessary: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a) If the working tasks require skills that are not normally obtained via a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long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education or through work experience, the job shall be classified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according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to the tasks that have the highest skill level.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b)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Example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: A job that consists of driving a delivery van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loading/unloading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goods, is to be classified as “delivery van driver”.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c) If the working tasks can be attributed to both the production and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distribution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goods, the job shall be classified as the former.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d)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Example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: A job that consists of both baking and selling bread shall be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classified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as “baker”, not as shop assistant/salesperson.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e) If the various tasks and duties can be attributed to production and the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skill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level is the same, consideration is to be taken of which tasks require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most time.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>Example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: A job that consists of both assembling doors and door-frames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and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of installing electric door-closers is to be classified as a joiner.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3.4.3 Trainees and apprentices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Students, apprentices and trainees are to be classified in accordance with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their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</w:t>
      </w:r>
      <w:r w:rsidRPr="00EF387B">
        <w:rPr>
          <w:rFonts w:ascii="Palatino-Italic" w:hAnsi="Palatino-Italic" w:cs="Palatino-Italic"/>
          <w:i/>
          <w:iCs/>
          <w:color w:val="000000"/>
          <w:szCs w:val="22"/>
          <w:lang w:val="en-US"/>
        </w:rPr>
        <w:t xml:space="preserve">future </w:t>
      </w:r>
      <w:r w:rsidRPr="00EF387B">
        <w:rPr>
          <w:rFonts w:ascii="Palatino-Roman" w:hAnsi="Palatino-Roman" w:cs="Palatino-Roman"/>
          <w:color w:val="000000"/>
          <w:szCs w:val="22"/>
          <w:lang w:val="en-US"/>
        </w:rPr>
        <w:t>job. This may apply to trainee doctors, legal advisors,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carpenters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other handicraft workers.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F387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3.4.4 Doctoral students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Doctoral students constitute their own group in SSYK. Their main task is to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study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and in cases where teaching and other tasks occur, these are deemed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to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constitute such a small proportion of their time as to set them apart from</w:t>
      </w:r>
    </w:p>
    <w:p w:rsid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other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occupational groups working in higher education.</w:t>
      </w:r>
    </w:p>
    <w:p w:rsidR="009F303F" w:rsidRPr="00EF387B" w:rsidRDefault="009F303F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r w:rsidRPr="00EF387B">
        <w:rPr>
          <w:rFonts w:ascii="Palatino-Roman" w:hAnsi="Palatino-Roman" w:cs="Palatino-Roman"/>
          <w:color w:val="000000"/>
          <w:szCs w:val="22"/>
          <w:lang w:val="en-US"/>
        </w:rPr>
        <w:t>Industrial doctoral students shall primarily be included in the job within</w:t>
      </w:r>
    </w:p>
    <w:p w:rsidR="00EF387B" w:rsidRPr="00EF387B" w:rsidRDefault="00EF387B" w:rsidP="00EF387B">
      <w:pPr>
        <w:overflowPunct/>
        <w:textAlignment w:val="auto"/>
        <w:rPr>
          <w:rFonts w:ascii="Palatino-Roman" w:hAnsi="Palatino-Roman" w:cs="Palatino-Roman"/>
          <w:color w:val="000000"/>
          <w:szCs w:val="22"/>
          <w:lang w:val="en-US"/>
        </w:rPr>
      </w:pPr>
      <w:proofErr w:type="gramStart"/>
      <w:r w:rsidRPr="00EF387B">
        <w:rPr>
          <w:rFonts w:ascii="Palatino-Roman" w:hAnsi="Palatino-Roman" w:cs="Palatino-Roman"/>
          <w:color w:val="000000"/>
          <w:szCs w:val="22"/>
          <w:lang w:val="en-US"/>
        </w:rPr>
        <w:t>the</w:t>
      </w:r>
      <w:proofErr w:type="gramEnd"/>
      <w:r w:rsidRPr="00EF387B">
        <w:rPr>
          <w:rFonts w:ascii="Palatino-Roman" w:hAnsi="Palatino-Roman" w:cs="Palatino-Roman"/>
          <w:color w:val="000000"/>
          <w:szCs w:val="22"/>
          <w:lang w:val="en-US"/>
        </w:rPr>
        <w:t xml:space="preserve"> field in which the research is performed.</w:t>
      </w:r>
    </w:p>
    <w:p w:rsidR="00A224CA" w:rsidRDefault="00EF387B" w:rsidP="00EF387B">
      <w:pPr>
        <w:ind w:left="-1276"/>
        <w:rPr>
          <w:szCs w:val="22"/>
        </w:rPr>
      </w:pPr>
      <w:r>
        <w:rPr>
          <w:rFonts w:ascii="StoneSansStd-Medium" w:hAnsi="StoneSansStd-Medium" w:cs="StoneSansStd-Medium"/>
          <w:color w:val="FFFFFF"/>
          <w:sz w:val="36"/>
          <w:szCs w:val="36"/>
        </w:rPr>
        <w:t>www.scb.</w:t>
      </w:r>
    </w:p>
    <w:p w:rsidR="00EF387B" w:rsidRDefault="00EF387B" w:rsidP="00EF387B">
      <w:pPr>
        <w:ind w:left="-1276"/>
        <w:rPr>
          <w:szCs w:val="22"/>
        </w:rPr>
      </w:pPr>
    </w:p>
    <w:p w:rsidR="00EF387B" w:rsidRDefault="00EF387B" w:rsidP="00EF387B">
      <w:pPr>
        <w:ind w:left="-1276"/>
        <w:rPr>
          <w:szCs w:val="22"/>
        </w:rPr>
      </w:pPr>
    </w:p>
    <w:p w:rsidR="00C02CB8" w:rsidRPr="0008263D" w:rsidRDefault="00C02CB8">
      <w:pPr>
        <w:rPr>
          <w:szCs w:val="22"/>
        </w:rPr>
      </w:pPr>
    </w:p>
    <w:sectPr w:rsidR="00C02CB8" w:rsidRPr="0008263D" w:rsidSect="00D174A6">
      <w:headerReference w:type="default" r:id="rId8"/>
      <w:headerReference w:type="first" r:id="rId9"/>
      <w:footerReference w:type="first" r:id="rId10"/>
      <w:pgSz w:w="11907" w:h="16840" w:code="9"/>
      <w:pgMar w:top="431" w:right="992" w:bottom="431" w:left="3742" w:header="431" w:footer="431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3F8" w:rsidRDefault="005503F8">
      <w:r>
        <w:separator/>
      </w:r>
    </w:p>
  </w:endnote>
  <w:endnote w:type="continuationSeparator" w:id="0">
    <w:p w:rsidR="005503F8" w:rsidRDefault="0055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SansStd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3F8" w:rsidRPr="00F31C07" w:rsidRDefault="005503F8" w:rsidP="00C02CB8">
    <w:pPr>
      <w:pStyle w:val="Sidfot"/>
      <w:ind w:left="0" w:right="-57"/>
    </w:pPr>
    <w:r w:rsidRPr="00F31C07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outsideMargin">
            <wp:posOffset>7048500</wp:posOffset>
          </wp:positionH>
          <wp:positionV relativeFrom="paragraph">
            <wp:posOffset>-1382395</wp:posOffset>
          </wp:positionV>
          <wp:extent cx="280035" cy="1733550"/>
          <wp:effectExtent l="19050" t="0" r="5715" b="0"/>
          <wp:wrapNone/>
          <wp:docPr id="3" name="Bildobjekt 0" descr="kvadrater_80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vadrater_80_rgb.eps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0035" cy="173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31C07">
      <w:t xml:space="preserve"> </w:t>
    </w:r>
  </w:p>
  <w:p w:rsidR="005503F8" w:rsidRDefault="005503F8" w:rsidP="00DF51E3">
    <w:pPr>
      <w:pStyle w:val="Sidfot"/>
      <w:ind w:right="-57"/>
    </w:pPr>
  </w:p>
  <w:p w:rsidR="005503F8" w:rsidRDefault="005503F8" w:rsidP="00DF51E3">
    <w:pPr>
      <w:pStyle w:val="Sidfot"/>
      <w:ind w:left="0" w:right="-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3F8" w:rsidRDefault="005503F8">
      <w:r>
        <w:separator/>
      </w:r>
    </w:p>
  </w:footnote>
  <w:footnote w:type="continuationSeparator" w:id="0">
    <w:p w:rsidR="005503F8" w:rsidRDefault="00550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3F8" w:rsidRDefault="005503F8">
    <w:pPr>
      <w:pStyle w:val="Sidhuvud"/>
    </w:pP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page">
            <wp:posOffset>295275</wp:posOffset>
          </wp:positionH>
          <wp:positionV relativeFrom="page">
            <wp:posOffset>285750</wp:posOffset>
          </wp:positionV>
          <wp:extent cx="2724150" cy="695325"/>
          <wp:effectExtent l="19050" t="0" r="0" b="0"/>
          <wp:wrapSquare wrapText="bothSides"/>
          <wp:docPr id="2" name="Bild 1" descr="C:\utv\wahs2\doc\Scb74sva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tv\wahs2\doc\Scb74sva.t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503F8" w:rsidRDefault="005503F8">
    <w:pPr>
      <w:pStyle w:val="Sidhuvud"/>
      <w:framePr w:hSpace="142" w:wrap="around" w:vAnchor="page" w:hAnchor="page" w:x="398" w:y="710"/>
      <w:ind w:left="0"/>
    </w:pPr>
  </w:p>
  <w:p w:rsidR="005503F8" w:rsidRDefault="005503F8">
    <w:pPr>
      <w:pStyle w:val="Sidhuvud"/>
    </w:pPr>
    <w:r>
      <w:tab/>
    </w:r>
  </w:p>
  <w:p w:rsidR="005503F8" w:rsidRDefault="005503F8">
    <w:pPr>
      <w:pStyle w:val="Sidhuvud"/>
      <w:ind w:left="-331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35879">
      <w:rPr>
        <w:noProof/>
      </w:rPr>
      <w:t>2</w:t>
    </w:r>
    <w:r>
      <w:rPr>
        <w:noProof/>
      </w:rPr>
      <w:fldChar w:fldCharType="end"/>
    </w:r>
    <w:r>
      <w:t>(</w:t>
    </w:r>
    <w:r>
      <w:fldChar w:fldCharType="begin"/>
    </w:r>
    <w:r>
      <w:instrText xml:space="preserve">NUMPAGES </w:instrText>
    </w:r>
    <w:r>
      <w:fldChar w:fldCharType="separate"/>
    </w:r>
    <w:r w:rsidR="00535879">
      <w:rPr>
        <w:noProof/>
      </w:rPr>
      <w:t>11</w:t>
    </w:r>
    <w:r>
      <w:rPr>
        <w:noProof/>
      </w:rPr>
      <w:fldChar w:fldCharType="end"/>
    </w:r>
    <w:r>
      <w:t>)</w:t>
    </w:r>
  </w:p>
  <w:p w:rsidR="005503F8" w:rsidRDefault="005503F8">
    <w:pPr>
      <w:pStyle w:val="Sidhuvud"/>
    </w:pPr>
  </w:p>
  <w:p w:rsidR="005503F8" w:rsidRDefault="005503F8">
    <w:pPr>
      <w:pStyle w:val="Sidhuvud"/>
    </w:pPr>
    <w:r>
      <w:tab/>
    </w:r>
  </w:p>
  <w:p w:rsidR="005503F8" w:rsidRDefault="005503F8">
    <w:pPr>
      <w:pStyle w:val="Sidhuvud"/>
    </w:pPr>
  </w:p>
  <w:p w:rsidR="005503F8" w:rsidRDefault="005503F8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3F8" w:rsidRDefault="005503F8">
    <w:pPr>
      <w:pStyle w:val="Sidhuvud"/>
      <w:ind w:left="-2591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ABF91CC" wp14:editId="32491ECB">
          <wp:simplePos x="0" y="0"/>
          <wp:positionH relativeFrom="column">
            <wp:posOffset>-2162475</wp:posOffset>
          </wp:positionH>
          <wp:positionV relativeFrom="paragraph">
            <wp:posOffset>14261</wp:posOffset>
          </wp:positionV>
          <wp:extent cx="2676525" cy="681408"/>
          <wp:effectExtent l="19050" t="0" r="9525" b="0"/>
          <wp:wrapNone/>
          <wp:docPr id="12" name="Bildobjekt 11" descr="Grå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å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76525" cy="681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5503F8" w:rsidRPr="0008263D" w:rsidRDefault="005503F8">
    <w:pPr>
      <w:pStyle w:val="Sidhuvud"/>
      <w:ind w:left="-3368"/>
    </w:pPr>
    <w:r>
      <w:tab/>
    </w:r>
    <w:r>
      <w:tab/>
    </w:r>
    <w:r>
      <w:tab/>
    </w:r>
    <w:r w:rsidRPr="0008263D">
      <w:fldChar w:fldCharType="begin"/>
    </w:r>
    <w:r w:rsidRPr="0008263D">
      <w:instrText>PAGE</w:instrText>
    </w:r>
    <w:r w:rsidRPr="0008263D">
      <w:fldChar w:fldCharType="separate"/>
    </w:r>
    <w:r w:rsidR="00535879">
      <w:rPr>
        <w:noProof/>
      </w:rPr>
      <w:t>1</w:t>
    </w:r>
    <w:r w:rsidRPr="0008263D">
      <w:fldChar w:fldCharType="end"/>
    </w:r>
    <w:r w:rsidRPr="0008263D">
      <w:t>(</w:t>
    </w:r>
    <w:r w:rsidRPr="0008263D">
      <w:fldChar w:fldCharType="begin"/>
    </w:r>
    <w:r w:rsidRPr="0008263D">
      <w:instrText xml:space="preserve">NUMPAGES </w:instrText>
    </w:r>
    <w:r w:rsidRPr="0008263D">
      <w:fldChar w:fldCharType="separate"/>
    </w:r>
    <w:r w:rsidR="00535879">
      <w:rPr>
        <w:noProof/>
      </w:rPr>
      <w:t>11</w:t>
    </w:r>
    <w:r w:rsidRPr="0008263D">
      <w:fldChar w:fldCharType="end"/>
    </w:r>
    <w:r w:rsidRPr="0008263D">
      <w:t>)</w:t>
    </w:r>
  </w:p>
  <w:p w:rsidR="005503F8" w:rsidRDefault="005503F8" w:rsidP="00C94E2B">
    <w:pPr>
      <w:pStyle w:val="Sidhuvud"/>
      <w:ind w:left="0"/>
    </w:pPr>
    <w:r>
      <w:tab/>
    </w:r>
  </w:p>
  <w:p w:rsidR="005503F8" w:rsidRDefault="005503F8" w:rsidP="00C02CB8">
    <w:pPr>
      <w:pStyle w:val="Sidhuvud"/>
      <w:ind w:left="0"/>
    </w:pPr>
    <w:r>
      <w:tab/>
    </w:r>
  </w:p>
  <w:p w:rsidR="005503F8" w:rsidRDefault="005503F8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hideGrammaticalErrors/>
  <w:activeWritingStyle w:appName="MSWord" w:lang="sv-SE" w:vendorID="0" w:dllVersion="512" w:checkStyle="1"/>
  <w:activeWritingStyle w:appName="MSWord" w:lang="sv-SE" w:vendorID="22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7B"/>
    <w:rsid w:val="00037732"/>
    <w:rsid w:val="00042DE4"/>
    <w:rsid w:val="00071CBA"/>
    <w:rsid w:val="0008263D"/>
    <w:rsid w:val="00095FC2"/>
    <w:rsid w:val="000F2AA4"/>
    <w:rsid w:val="00100D83"/>
    <w:rsid w:val="00146175"/>
    <w:rsid w:val="001A6C5F"/>
    <w:rsid w:val="002274EF"/>
    <w:rsid w:val="00240019"/>
    <w:rsid w:val="00250747"/>
    <w:rsid w:val="00255680"/>
    <w:rsid w:val="00330C7D"/>
    <w:rsid w:val="00333619"/>
    <w:rsid w:val="0036022B"/>
    <w:rsid w:val="00367AAB"/>
    <w:rsid w:val="0038154F"/>
    <w:rsid w:val="003B605C"/>
    <w:rsid w:val="003D0C47"/>
    <w:rsid w:val="0047646A"/>
    <w:rsid w:val="00477D48"/>
    <w:rsid w:val="004B0055"/>
    <w:rsid w:val="004B6A48"/>
    <w:rsid w:val="004C068A"/>
    <w:rsid w:val="00505052"/>
    <w:rsid w:val="00535879"/>
    <w:rsid w:val="005503F8"/>
    <w:rsid w:val="005C360C"/>
    <w:rsid w:val="005D6F8A"/>
    <w:rsid w:val="005D70CF"/>
    <w:rsid w:val="00606C5C"/>
    <w:rsid w:val="00633A14"/>
    <w:rsid w:val="006B1F05"/>
    <w:rsid w:val="006D788C"/>
    <w:rsid w:val="00733A72"/>
    <w:rsid w:val="007346AE"/>
    <w:rsid w:val="0078713A"/>
    <w:rsid w:val="007D16F8"/>
    <w:rsid w:val="007D7814"/>
    <w:rsid w:val="007E0F5D"/>
    <w:rsid w:val="00805655"/>
    <w:rsid w:val="0088009B"/>
    <w:rsid w:val="008825E4"/>
    <w:rsid w:val="00906DC6"/>
    <w:rsid w:val="00952363"/>
    <w:rsid w:val="00992249"/>
    <w:rsid w:val="009A6934"/>
    <w:rsid w:val="009D78D0"/>
    <w:rsid w:val="009E2305"/>
    <w:rsid w:val="009F0E56"/>
    <w:rsid w:val="009F303F"/>
    <w:rsid w:val="00A224CA"/>
    <w:rsid w:val="00A65D42"/>
    <w:rsid w:val="00AA168C"/>
    <w:rsid w:val="00AE4D67"/>
    <w:rsid w:val="00B1522E"/>
    <w:rsid w:val="00B27772"/>
    <w:rsid w:val="00BC366F"/>
    <w:rsid w:val="00BE123D"/>
    <w:rsid w:val="00C01C35"/>
    <w:rsid w:val="00C02CB8"/>
    <w:rsid w:val="00C317BA"/>
    <w:rsid w:val="00C46200"/>
    <w:rsid w:val="00C655F3"/>
    <w:rsid w:val="00C94E2B"/>
    <w:rsid w:val="00C96C22"/>
    <w:rsid w:val="00CF4EE6"/>
    <w:rsid w:val="00D174A6"/>
    <w:rsid w:val="00D32C96"/>
    <w:rsid w:val="00D76103"/>
    <w:rsid w:val="00D868D7"/>
    <w:rsid w:val="00DF51E3"/>
    <w:rsid w:val="00E27EB3"/>
    <w:rsid w:val="00EF387B"/>
    <w:rsid w:val="00EF76A4"/>
    <w:rsid w:val="00F31C07"/>
    <w:rsid w:val="00F6376D"/>
    <w:rsid w:val="00F65440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2CB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qFormat/>
    <w:rsid w:val="00B27772"/>
    <w:pPr>
      <w:keepNext/>
      <w:keepLines/>
      <w:spacing w:before="120"/>
      <w:outlineLvl w:val="0"/>
    </w:pPr>
    <w:rPr>
      <w:rFonts w:ascii="Arial" w:hAnsi="Arial"/>
      <w:b/>
      <w:sz w:val="32"/>
    </w:rPr>
  </w:style>
  <w:style w:type="paragraph" w:styleId="Rubrik2">
    <w:name w:val="heading 2"/>
    <w:basedOn w:val="Normal"/>
    <w:next w:val="Normal"/>
    <w:qFormat/>
    <w:rsid w:val="00733A72"/>
    <w:pPr>
      <w:keepNext/>
      <w:keepLines/>
      <w:spacing w:before="120" w:after="180"/>
      <w:outlineLvl w:val="1"/>
    </w:pPr>
    <w:rPr>
      <w:rFonts w:ascii="Arial" w:hAnsi="Arial"/>
      <w:b/>
    </w:rPr>
  </w:style>
  <w:style w:type="paragraph" w:styleId="Rubrik3">
    <w:name w:val="heading 3"/>
    <w:basedOn w:val="Normal"/>
    <w:next w:val="Normal"/>
    <w:qFormat/>
    <w:rsid w:val="00733A72"/>
    <w:pPr>
      <w:keepNext/>
      <w:keepLine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qFormat/>
    <w:rsid w:val="00733A72"/>
    <w:pPr>
      <w:keepNext/>
      <w:keepLines/>
      <w:spacing w:before="120"/>
      <w:outlineLvl w:val="3"/>
    </w:pPr>
    <w:rPr>
      <w:i/>
    </w:rPr>
  </w:style>
  <w:style w:type="paragraph" w:styleId="Rubrik5">
    <w:name w:val="heading 5"/>
    <w:basedOn w:val="Normal"/>
    <w:next w:val="Normal"/>
    <w:qFormat/>
    <w:rsid w:val="00733A72"/>
    <w:pPr>
      <w:keepNext/>
      <w:outlineLvl w:val="4"/>
    </w:pPr>
    <w:rPr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nehll3">
    <w:name w:val="toc 3"/>
    <w:basedOn w:val="Normal"/>
    <w:next w:val="Normal"/>
    <w:semiHidden/>
    <w:rsid w:val="00733A72"/>
    <w:pPr>
      <w:tabs>
        <w:tab w:val="left" w:leader="dot" w:pos="7070"/>
        <w:tab w:val="right" w:pos="7200"/>
      </w:tabs>
      <w:ind w:left="1296"/>
    </w:pPr>
  </w:style>
  <w:style w:type="paragraph" w:styleId="Innehll2">
    <w:name w:val="toc 2"/>
    <w:basedOn w:val="Normal"/>
    <w:next w:val="Normal"/>
    <w:semiHidden/>
    <w:rsid w:val="00733A72"/>
    <w:pPr>
      <w:tabs>
        <w:tab w:val="left" w:leader="dot" w:pos="7070"/>
        <w:tab w:val="right" w:pos="7200"/>
      </w:tabs>
      <w:ind w:left="648"/>
    </w:pPr>
  </w:style>
  <w:style w:type="paragraph" w:styleId="Innehll1">
    <w:name w:val="toc 1"/>
    <w:basedOn w:val="Normal"/>
    <w:next w:val="Normal"/>
    <w:semiHidden/>
    <w:rsid w:val="00733A72"/>
    <w:pPr>
      <w:tabs>
        <w:tab w:val="left" w:leader="dot" w:pos="7070"/>
        <w:tab w:val="right" w:pos="7200"/>
      </w:tabs>
    </w:pPr>
  </w:style>
  <w:style w:type="paragraph" w:styleId="Sidfot">
    <w:name w:val="footer"/>
    <w:basedOn w:val="Normal"/>
    <w:rsid w:val="00733A72"/>
    <w:pPr>
      <w:tabs>
        <w:tab w:val="left" w:pos="-1296"/>
        <w:tab w:val="left" w:pos="0"/>
      </w:tabs>
      <w:ind w:left="-2592"/>
    </w:pPr>
    <w:rPr>
      <w:sz w:val="16"/>
    </w:rPr>
  </w:style>
  <w:style w:type="paragraph" w:styleId="Sidhuvud">
    <w:name w:val="header"/>
    <w:basedOn w:val="Normal"/>
    <w:rsid w:val="00733A72"/>
    <w:pPr>
      <w:tabs>
        <w:tab w:val="left" w:pos="2592"/>
        <w:tab w:val="left" w:pos="5184"/>
        <w:tab w:val="left" w:pos="6480"/>
      </w:tabs>
      <w:ind w:left="-2592"/>
    </w:pPr>
  </w:style>
  <w:style w:type="paragraph" w:styleId="Normaltindrag">
    <w:name w:val="Normal Indent"/>
    <w:basedOn w:val="Normal"/>
    <w:rsid w:val="00733A72"/>
    <w:pPr>
      <w:ind w:left="1296" w:hanging="1296"/>
    </w:pPr>
  </w:style>
  <w:style w:type="paragraph" w:customStyle="1" w:styleId="Rubrikimarg">
    <w:name w:val="Rubrik i marg"/>
    <w:basedOn w:val="Normal"/>
    <w:next w:val="Normal"/>
    <w:rsid w:val="00733A72"/>
    <w:pPr>
      <w:tabs>
        <w:tab w:val="left" w:pos="0"/>
      </w:tabs>
      <w:ind w:hanging="2592"/>
    </w:pPr>
  </w:style>
  <w:style w:type="paragraph" w:customStyle="1" w:styleId="rendemening">
    <w:name w:val="Ärendemening"/>
    <w:basedOn w:val="Normal"/>
    <w:next w:val="Normal"/>
    <w:qFormat/>
    <w:rsid w:val="00733A72"/>
    <w:pPr>
      <w:spacing w:after="240"/>
    </w:pPr>
    <w:rPr>
      <w:rFonts w:ascii="Arial" w:hAnsi="Arial"/>
      <w:b/>
      <w:sz w:val="32"/>
    </w:rPr>
  </w:style>
  <w:style w:type="paragraph" w:styleId="Ballongtext">
    <w:name w:val="Balloon Text"/>
    <w:basedOn w:val="Normal"/>
    <w:link w:val="BallongtextChar"/>
    <w:rsid w:val="00071CBA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071CBA"/>
    <w:rPr>
      <w:rFonts w:ascii="Tahoma" w:hAnsi="Tahoma" w:cs="Tahoma"/>
      <w:sz w:val="16"/>
      <w:szCs w:val="16"/>
    </w:rPr>
  </w:style>
  <w:style w:type="character" w:styleId="Betoning">
    <w:name w:val="Emphasis"/>
    <w:basedOn w:val="Standardstycketeckensnitt"/>
    <w:rsid w:val="00C02CB8"/>
    <w:rPr>
      <w:i/>
      <w:iCs/>
    </w:rPr>
  </w:style>
  <w:style w:type="paragraph" w:styleId="Rubrik">
    <w:name w:val="Title"/>
    <w:basedOn w:val="Normal"/>
    <w:next w:val="Normal"/>
    <w:link w:val="RubrikChar"/>
    <w:qFormat/>
    <w:rsid w:val="004C068A"/>
    <w:pPr>
      <w:spacing w:after="300"/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32"/>
      <w:szCs w:val="52"/>
    </w:rPr>
  </w:style>
  <w:style w:type="character" w:customStyle="1" w:styleId="RubrikChar">
    <w:name w:val="Rubrik Char"/>
    <w:basedOn w:val="Standardstycketeckensnitt"/>
    <w:link w:val="Rubrik"/>
    <w:rsid w:val="004C068A"/>
    <w:rPr>
      <w:rFonts w:ascii="Arial" w:eastAsiaTheme="majorEastAsia" w:hAnsi="Arial" w:cstheme="majorBidi"/>
      <w:color w:val="000000" w:themeColor="text1"/>
      <w:spacing w:val="5"/>
      <w:kern w:val="28"/>
      <w:sz w:val="32"/>
      <w:szCs w:val="52"/>
    </w:rPr>
  </w:style>
  <w:style w:type="character" w:styleId="Hyperlnk">
    <w:name w:val="Hyperlink"/>
    <w:basedOn w:val="Standardstycketeckensnitt"/>
    <w:rsid w:val="00D868D7"/>
    <w:rPr>
      <w:color w:val="0000FF" w:themeColor="hyperlink"/>
      <w:u w:val="single"/>
    </w:rPr>
  </w:style>
  <w:style w:type="table" w:styleId="Tabellrutnt">
    <w:name w:val="Table Grid"/>
    <w:basedOn w:val="Normaltabell"/>
    <w:rsid w:val="00550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2CB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qFormat/>
    <w:rsid w:val="00B27772"/>
    <w:pPr>
      <w:keepNext/>
      <w:keepLines/>
      <w:spacing w:before="120"/>
      <w:outlineLvl w:val="0"/>
    </w:pPr>
    <w:rPr>
      <w:rFonts w:ascii="Arial" w:hAnsi="Arial"/>
      <w:b/>
      <w:sz w:val="32"/>
    </w:rPr>
  </w:style>
  <w:style w:type="paragraph" w:styleId="Rubrik2">
    <w:name w:val="heading 2"/>
    <w:basedOn w:val="Normal"/>
    <w:next w:val="Normal"/>
    <w:qFormat/>
    <w:rsid w:val="00733A72"/>
    <w:pPr>
      <w:keepNext/>
      <w:keepLines/>
      <w:spacing w:before="120" w:after="180"/>
      <w:outlineLvl w:val="1"/>
    </w:pPr>
    <w:rPr>
      <w:rFonts w:ascii="Arial" w:hAnsi="Arial"/>
      <w:b/>
    </w:rPr>
  </w:style>
  <w:style w:type="paragraph" w:styleId="Rubrik3">
    <w:name w:val="heading 3"/>
    <w:basedOn w:val="Normal"/>
    <w:next w:val="Normal"/>
    <w:qFormat/>
    <w:rsid w:val="00733A72"/>
    <w:pPr>
      <w:keepNext/>
      <w:keepLine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qFormat/>
    <w:rsid w:val="00733A72"/>
    <w:pPr>
      <w:keepNext/>
      <w:keepLines/>
      <w:spacing w:before="120"/>
      <w:outlineLvl w:val="3"/>
    </w:pPr>
    <w:rPr>
      <w:i/>
    </w:rPr>
  </w:style>
  <w:style w:type="paragraph" w:styleId="Rubrik5">
    <w:name w:val="heading 5"/>
    <w:basedOn w:val="Normal"/>
    <w:next w:val="Normal"/>
    <w:qFormat/>
    <w:rsid w:val="00733A72"/>
    <w:pPr>
      <w:keepNext/>
      <w:outlineLvl w:val="4"/>
    </w:pPr>
    <w:rPr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nehll3">
    <w:name w:val="toc 3"/>
    <w:basedOn w:val="Normal"/>
    <w:next w:val="Normal"/>
    <w:semiHidden/>
    <w:rsid w:val="00733A72"/>
    <w:pPr>
      <w:tabs>
        <w:tab w:val="left" w:leader="dot" w:pos="7070"/>
        <w:tab w:val="right" w:pos="7200"/>
      </w:tabs>
      <w:ind w:left="1296"/>
    </w:pPr>
  </w:style>
  <w:style w:type="paragraph" w:styleId="Innehll2">
    <w:name w:val="toc 2"/>
    <w:basedOn w:val="Normal"/>
    <w:next w:val="Normal"/>
    <w:semiHidden/>
    <w:rsid w:val="00733A72"/>
    <w:pPr>
      <w:tabs>
        <w:tab w:val="left" w:leader="dot" w:pos="7070"/>
        <w:tab w:val="right" w:pos="7200"/>
      </w:tabs>
      <w:ind w:left="648"/>
    </w:pPr>
  </w:style>
  <w:style w:type="paragraph" w:styleId="Innehll1">
    <w:name w:val="toc 1"/>
    <w:basedOn w:val="Normal"/>
    <w:next w:val="Normal"/>
    <w:semiHidden/>
    <w:rsid w:val="00733A72"/>
    <w:pPr>
      <w:tabs>
        <w:tab w:val="left" w:leader="dot" w:pos="7070"/>
        <w:tab w:val="right" w:pos="7200"/>
      </w:tabs>
    </w:pPr>
  </w:style>
  <w:style w:type="paragraph" w:styleId="Sidfot">
    <w:name w:val="footer"/>
    <w:basedOn w:val="Normal"/>
    <w:rsid w:val="00733A72"/>
    <w:pPr>
      <w:tabs>
        <w:tab w:val="left" w:pos="-1296"/>
        <w:tab w:val="left" w:pos="0"/>
      </w:tabs>
      <w:ind w:left="-2592"/>
    </w:pPr>
    <w:rPr>
      <w:sz w:val="16"/>
    </w:rPr>
  </w:style>
  <w:style w:type="paragraph" w:styleId="Sidhuvud">
    <w:name w:val="header"/>
    <w:basedOn w:val="Normal"/>
    <w:rsid w:val="00733A72"/>
    <w:pPr>
      <w:tabs>
        <w:tab w:val="left" w:pos="2592"/>
        <w:tab w:val="left" w:pos="5184"/>
        <w:tab w:val="left" w:pos="6480"/>
      </w:tabs>
      <w:ind w:left="-2592"/>
    </w:pPr>
  </w:style>
  <w:style w:type="paragraph" w:styleId="Normaltindrag">
    <w:name w:val="Normal Indent"/>
    <w:basedOn w:val="Normal"/>
    <w:rsid w:val="00733A72"/>
    <w:pPr>
      <w:ind w:left="1296" w:hanging="1296"/>
    </w:pPr>
  </w:style>
  <w:style w:type="paragraph" w:customStyle="1" w:styleId="Rubrikimarg">
    <w:name w:val="Rubrik i marg"/>
    <w:basedOn w:val="Normal"/>
    <w:next w:val="Normal"/>
    <w:rsid w:val="00733A72"/>
    <w:pPr>
      <w:tabs>
        <w:tab w:val="left" w:pos="0"/>
      </w:tabs>
      <w:ind w:hanging="2592"/>
    </w:pPr>
  </w:style>
  <w:style w:type="paragraph" w:customStyle="1" w:styleId="rendemening">
    <w:name w:val="Ärendemening"/>
    <w:basedOn w:val="Normal"/>
    <w:next w:val="Normal"/>
    <w:qFormat/>
    <w:rsid w:val="00733A72"/>
    <w:pPr>
      <w:spacing w:after="240"/>
    </w:pPr>
    <w:rPr>
      <w:rFonts w:ascii="Arial" w:hAnsi="Arial"/>
      <w:b/>
      <w:sz w:val="32"/>
    </w:rPr>
  </w:style>
  <w:style w:type="paragraph" w:styleId="Ballongtext">
    <w:name w:val="Balloon Text"/>
    <w:basedOn w:val="Normal"/>
    <w:link w:val="BallongtextChar"/>
    <w:rsid w:val="00071CBA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071CBA"/>
    <w:rPr>
      <w:rFonts w:ascii="Tahoma" w:hAnsi="Tahoma" w:cs="Tahoma"/>
      <w:sz w:val="16"/>
      <w:szCs w:val="16"/>
    </w:rPr>
  </w:style>
  <w:style w:type="character" w:styleId="Betoning">
    <w:name w:val="Emphasis"/>
    <w:basedOn w:val="Standardstycketeckensnitt"/>
    <w:rsid w:val="00C02CB8"/>
    <w:rPr>
      <w:i/>
      <w:iCs/>
    </w:rPr>
  </w:style>
  <w:style w:type="paragraph" w:styleId="Rubrik">
    <w:name w:val="Title"/>
    <w:basedOn w:val="Normal"/>
    <w:next w:val="Normal"/>
    <w:link w:val="RubrikChar"/>
    <w:qFormat/>
    <w:rsid w:val="004C068A"/>
    <w:pPr>
      <w:spacing w:after="300"/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32"/>
      <w:szCs w:val="52"/>
    </w:rPr>
  </w:style>
  <w:style w:type="character" w:customStyle="1" w:styleId="RubrikChar">
    <w:name w:val="Rubrik Char"/>
    <w:basedOn w:val="Standardstycketeckensnitt"/>
    <w:link w:val="Rubrik"/>
    <w:rsid w:val="004C068A"/>
    <w:rPr>
      <w:rFonts w:ascii="Arial" w:eastAsiaTheme="majorEastAsia" w:hAnsi="Arial" w:cstheme="majorBidi"/>
      <w:color w:val="000000" w:themeColor="text1"/>
      <w:spacing w:val="5"/>
      <w:kern w:val="28"/>
      <w:sz w:val="32"/>
      <w:szCs w:val="52"/>
    </w:rPr>
  </w:style>
  <w:style w:type="character" w:styleId="Hyperlnk">
    <w:name w:val="Hyperlink"/>
    <w:basedOn w:val="Standardstycketeckensnitt"/>
    <w:rsid w:val="00D868D7"/>
    <w:rPr>
      <w:color w:val="0000FF" w:themeColor="hyperlink"/>
      <w:u w:val="single"/>
    </w:rPr>
  </w:style>
  <w:style w:type="table" w:styleId="Tabellrutnt">
    <w:name w:val="Table Grid"/>
    <w:basedOn w:val="Normaltabell"/>
    <w:rsid w:val="00550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3125-0F6F-4E0C-9EF5-93244739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4134</Words>
  <Characters>22910</Characters>
  <Application>Microsoft Office Word</Application>
  <DocSecurity>0</DocSecurity>
  <Lines>190</Lines>
  <Paragraphs>53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26991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Thell Mariette ES/FRS-Ö</dc:creator>
  <cp:lastModifiedBy>Thell Mariette ES/FRS-Ö</cp:lastModifiedBy>
  <cp:revision>3</cp:revision>
  <cp:lastPrinted>2011-10-14T08:34:00Z</cp:lastPrinted>
  <dcterms:created xsi:type="dcterms:W3CDTF">2014-01-13T12:42:00Z</dcterms:created>
  <dcterms:modified xsi:type="dcterms:W3CDTF">2014-01-14T14:35:00Z</dcterms:modified>
</cp:coreProperties>
</file>