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209DE" w:rsidP="003209DE">
      <w:pPr>
        <w:jc w:val="both"/>
        <w:rPr>
          <w:rFonts w:ascii="Arial" w:hAnsi="Arial" w:cs="Arial"/>
          <w:color w:val="000000"/>
          <w:spacing w:val="3"/>
          <w:sz w:val="28"/>
          <w:szCs w:val="28"/>
          <w:shd w:val="clear" w:color="auto" w:fill="FCFCFC"/>
        </w:rPr>
      </w:pPr>
      <w:r>
        <w:rPr>
          <w:rFonts w:ascii="Arial" w:hAnsi="Arial" w:cs="Arial"/>
          <w:color w:val="000000"/>
          <w:spacing w:val="3"/>
          <w:sz w:val="28"/>
          <w:szCs w:val="28"/>
          <w:shd w:val="clear" w:color="auto" w:fill="FCFCFC"/>
        </w:rPr>
        <w:t>Social responsibility accounting - sometimes referred to as sustainability accounting or corporate social responsibility accounting - is the concept of </w:t>
      </w:r>
      <w:r>
        <w:rPr>
          <w:rStyle w:val="Strong"/>
          <w:rFonts w:ascii="Arial" w:hAnsi="Arial" w:cs="Arial"/>
          <w:color w:val="000000"/>
          <w:spacing w:val="3"/>
          <w:sz w:val="28"/>
          <w:szCs w:val="28"/>
          <w:shd w:val="clear" w:color="auto" w:fill="FCFCFC"/>
        </w:rPr>
        <w:t>integrating</w:t>
      </w:r>
      <w:r>
        <w:rPr>
          <w:rFonts w:ascii="Arial" w:hAnsi="Arial" w:cs="Arial"/>
          <w:color w:val="000000"/>
          <w:spacing w:val="3"/>
          <w:sz w:val="28"/>
          <w:szCs w:val="28"/>
          <w:shd w:val="clear" w:color="auto" w:fill="FCFCFC"/>
        </w:rPr>
        <w:t> nonfinancial measures into financial reporting. Although social responsibility accounting and reporting aren't mandatory for U.S. businesses, companies do at times report on social issues.</w:t>
      </w:r>
    </w:p>
    <w:p w:rsidR="003209DE" w:rsidRPr="003209DE" w:rsidRDefault="003209DE" w:rsidP="003209DE">
      <w:pPr>
        <w:shd w:val="clear" w:color="auto" w:fill="FCFCFC"/>
        <w:spacing w:before="100" w:beforeAutospacing="1" w:after="100" w:afterAutospacing="1" w:line="240" w:lineRule="auto"/>
        <w:jc w:val="both"/>
        <w:outlineLvl w:val="1"/>
        <w:rPr>
          <w:rFonts w:ascii="Arial" w:eastAsia="Times New Roman" w:hAnsi="Arial" w:cs="Arial"/>
          <w:color w:val="000000"/>
          <w:spacing w:val="1"/>
          <w:sz w:val="36"/>
          <w:szCs w:val="36"/>
        </w:rPr>
      </w:pPr>
      <w:r w:rsidRPr="003209DE">
        <w:rPr>
          <w:rFonts w:ascii="Arial" w:eastAsia="Times New Roman" w:hAnsi="Arial" w:cs="Arial"/>
          <w:color w:val="000000"/>
          <w:spacing w:val="1"/>
          <w:sz w:val="36"/>
          <w:szCs w:val="36"/>
        </w:rPr>
        <w:t>Definition of Social Responsibility Accounting</w:t>
      </w:r>
    </w:p>
    <w:p w:rsidR="003209DE" w:rsidRPr="003209DE" w:rsidRDefault="003209DE" w:rsidP="003209DE">
      <w:pPr>
        <w:shd w:val="clear" w:color="auto" w:fill="FCFCFC"/>
        <w:spacing w:before="100" w:beforeAutospacing="1" w:after="100" w:afterAutospacing="1" w:line="240" w:lineRule="auto"/>
        <w:jc w:val="both"/>
        <w:rPr>
          <w:rFonts w:ascii="Arial" w:eastAsia="Times New Roman" w:hAnsi="Arial" w:cs="Arial"/>
          <w:color w:val="000000"/>
          <w:spacing w:val="2"/>
          <w:sz w:val="24"/>
          <w:szCs w:val="24"/>
        </w:rPr>
      </w:pPr>
      <w:r w:rsidRPr="003209DE">
        <w:rPr>
          <w:rFonts w:ascii="Arial" w:eastAsia="Times New Roman" w:hAnsi="Arial" w:cs="Arial"/>
          <w:color w:val="000000"/>
          <w:spacing w:val="2"/>
          <w:sz w:val="24"/>
          <w:szCs w:val="24"/>
        </w:rPr>
        <w:t>According to the </w:t>
      </w:r>
      <w:hyperlink r:id="rId7" w:tgtFrame="_blank" w:history="1">
        <w:r w:rsidRPr="003209DE">
          <w:rPr>
            <w:rFonts w:ascii="Arial" w:eastAsia="Times New Roman" w:hAnsi="Arial" w:cs="Arial"/>
            <w:color w:val="000000"/>
            <w:spacing w:val="2"/>
            <w:sz w:val="24"/>
            <w:szCs w:val="24"/>
          </w:rPr>
          <w:t>American Institute of CPAs</w:t>
        </w:r>
      </w:hyperlink>
      <w:r w:rsidRPr="003209DE">
        <w:rPr>
          <w:rFonts w:ascii="Arial" w:eastAsia="Times New Roman" w:hAnsi="Arial" w:cs="Arial"/>
          <w:color w:val="000000"/>
          <w:spacing w:val="2"/>
          <w:sz w:val="24"/>
          <w:szCs w:val="24"/>
        </w:rPr>
        <w:t>, sustainability accounting involves reporting a </w:t>
      </w:r>
      <w:r w:rsidRPr="003209DE">
        <w:rPr>
          <w:rFonts w:ascii="Arial" w:eastAsia="Times New Roman" w:hAnsi="Arial" w:cs="Arial"/>
          <w:b/>
          <w:bCs/>
          <w:color w:val="000000"/>
          <w:spacing w:val="2"/>
          <w:sz w:val="24"/>
          <w:szCs w:val="24"/>
        </w:rPr>
        <w:t>"triple bottom-line"</w:t>
      </w:r>
      <w:r w:rsidRPr="003209DE">
        <w:rPr>
          <w:rFonts w:ascii="Arial" w:eastAsia="Times New Roman" w:hAnsi="Arial" w:cs="Arial"/>
          <w:color w:val="000000"/>
          <w:spacing w:val="2"/>
          <w:sz w:val="24"/>
          <w:szCs w:val="24"/>
        </w:rPr>
        <w:t> of a company's economic vitality, social responsibility and environmental responsibility. In the past, business philosophy in the United States has tasked company managers with driving profits for shareholders. More and more, individuals and institutions are concerned with how business operations affect </w:t>
      </w:r>
      <w:r w:rsidRPr="003209DE">
        <w:rPr>
          <w:rFonts w:ascii="Arial" w:eastAsia="Times New Roman" w:hAnsi="Arial" w:cs="Arial"/>
          <w:b/>
          <w:bCs/>
          <w:color w:val="000000"/>
          <w:spacing w:val="2"/>
          <w:sz w:val="24"/>
          <w:szCs w:val="24"/>
        </w:rPr>
        <w:t>employees, customers,</w:t>
      </w:r>
      <w:r w:rsidRPr="003209DE">
        <w:rPr>
          <w:rFonts w:ascii="Arial" w:eastAsia="Times New Roman" w:hAnsi="Arial" w:cs="Arial"/>
          <w:color w:val="000000"/>
          <w:spacing w:val="2"/>
          <w:sz w:val="24"/>
          <w:szCs w:val="24"/>
        </w:rPr>
        <w:t> the </w:t>
      </w:r>
      <w:r w:rsidRPr="003209DE">
        <w:rPr>
          <w:rFonts w:ascii="Arial" w:eastAsia="Times New Roman" w:hAnsi="Arial" w:cs="Arial"/>
          <w:b/>
          <w:bCs/>
          <w:color w:val="000000"/>
          <w:spacing w:val="2"/>
          <w:sz w:val="24"/>
          <w:szCs w:val="24"/>
        </w:rPr>
        <w:t>community</w:t>
      </w:r>
      <w:r w:rsidRPr="003209DE">
        <w:rPr>
          <w:rFonts w:ascii="Arial" w:eastAsia="Times New Roman" w:hAnsi="Arial" w:cs="Arial"/>
          <w:color w:val="000000"/>
          <w:spacing w:val="2"/>
          <w:sz w:val="24"/>
          <w:szCs w:val="24"/>
        </w:rPr>
        <w:t> and the </w:t>
      </w:r>
      <w:r w:rsidRPr="003209DE">
        <w:rPr>
          <w:rFonts w:ascii="Arial" w:eastAsia="Times New Roman" w:hAnsi="Arial" w:cs="Arial"/>
          <w:b/>
          <w:bCs/>
          <w:color w:val="000000"/>
          <w:spacing w:val="2"/>
          <w:sz w:val="24"/>
          <w:szCs w:val="24"/>
        </w:rPr>
        <w:t>natural environment</w:t>
      </w:r>
      <w:r w:rsidRPr="003209DE">
        <w:rPr>
          <w:rFonts w:ascii="Arial" w:eastAsia="Times New Roman" w:hAnsi="Arial" w:cs="Arial"/>
          <w:color w:val="000000"/>
          <w:spacing w:val="2"/>
          <w:sz w:val="24"/>
          <w:szCs w:val="24"/>
        </w:rPr>
        <w:t>. Social responsibility accounting seeks to quantify and report on this information.</w:t>
      </w:r>
    </w:p>
    <w:p w:rsidR="003209DE" w:rsidRDefault="003209DE" w:rsidP="003209DE">
      <w:pPr>
        <w:pStyle w:val="Heading2"/>
        <w:shd w:val="clear" w:color="auto" w:fill="FCFCFC"/>
        <w:rPr>
          <w:rFonts w:ascii="Arial" w:hAnsi="Arial" w:cs="Arial"/>
          <w:b w:val="0"/>
          <w:bCs w:val="0"/>
          <w:color w:val="000000"/>
          <w:spacing w:val="1"/>
        </w:rPr>
      </w:pPr>
      <w:r>
        <w:rPr>
          <w:rFonts w:ascii="Arial" w:hAnsi="Arial" w:cs="Arial"/>
          <w:b w:val="0"/>
          <w:bCs w:val="0"/>
          <w:color w:val="000000"/>
          <w:spacing w:val="1"/>
        </w:rPr>
        <w:t>Information Reported Under Social Responsibility Accounting</w:t>
      </w:r>
    </w:p>
    <w:p w:rsidR="003209DE" w:rsidRDefault="003209DE" w:rsidP="009F0E66">
      <w:pPr>
        <w:pStyle w:val="NormalWeb"/>
        <w:shd w:val="clear" w:color="auto" w:fill="FCFCFC"/>
        <w:jc w:val="both"/>
        <w:rPr>
          <w:rFonts w:ascii="Arial" w:hAnsi="Arial" w:cs="Arial"/>
          <w:color w:val="000000"/>
          <w:spacing w:val="2"/>
        </w:rPr>
      </w:pPr>
      <w:r>
        <w:rPr>
          <w:rFonts w:ascii="Arial" w:hAnsi="Arial" w:cs="Arial"/>
          <w:color w:val="000000"/>
          <w:spacing w:val="2"/>
        </w:rPr>
        <w:t>Companies that employ social responsibility accounting may report on some or all of the following issues:</w:t>
      </w:r>
    </w:p>
    <w:p w:rsidR="009F0E66" w:rsidRPr="009F0E66" w:rsidRDefault="009F0E66" w:rsidP="009F0E66">
      <w:pPr>
        <w:numPr>
          <w:ilvl w:val="0"/>
          <w:numId w:val="1"/>
        </w:numPr>
        <w:shd w:val="clear" w:color="auto" w:fill="FCFCFC"/>
        <w:spacing w:before="100" w:beforeAutospacing="1" w:after="100" w:afterAutospacing="1" w:line="240" w:lineRule="auto"/>
        <w:ind w:left="0"/>
        <w:jc w:val="both"/>
        <w:rPr>
          <w:rFonts w:ascii="Arial" w:eastAsia="Times New Roman" w:hAnsi="Arial" w:cs="Arial"/>
          <w:color w:val="000000"/>
          <w:spacing w:val="2"/>
          <w:sz w:val="24"/>
          <w:szCs w:val="24"/>
        </w:rPr>
      </w:pPr>
      <w:r w:rsidRPr="009F0E66">
        <w:rPr>
          <w:rFonts w:ascii="Arial" w:eastAsia="Times New Roman" w:hAnsi="Arial" w:cs="Arial"/>
          <w:color w:val="000000"/>
          <w:spacing w:val="2"/>
          <w:sz w:val="24"/>
          <w:szCs w:val="24"/>
        </w:rPr>
        <w:t>Statistics regarding </w:t>
      </w:r>
      <w:r w:rsidRPr="009F0E66">
        <w:rPr>
          <w:rFonts w:ascii="Arial" w:eastAsia="Times New Roman" w:hAnsi="Arial" w:cs="Arial"/>
          <w:b/>
          <w:bCs/>
          <w:color w:val="000000"/>
          <w:spacing w:val="2"/>
          <w:sz w:val="24"/>
          <w:szCs w:val="24"/>
        </w:rPr>
        <w:t>employee health</w:t>
      </w:r>
      <w:r w:rsidRPr="009F0E66">
        <w:rPr>
          <w:rFonts w:ascii="Arial" w:eastAsia="Times New Roman" w:hAnsi="Arial" w:cs="Arial"/>
          <w:color w:val="000000"/>
          <w:spacing w:val="2"/>
          <w:sz w:val="24"/>
          <w:szCs w:val="24"/>
        </w:rPr>
        <w:t> and </w:t>
      </w:r>
      <w:r w:rsidRPr="009F0E66">
        <w:rPr>
          <w:rFonts w:ascii="Arial" w:eastAsia="Times New Roman" w:hAnsi="Arial" w:cs="Arial"/>
          <w:b/>
          <w:bCs/>
          <w:color w:val="000000"/>
          <w:spacing w:val="2"/>
          <w:sz w:val="24"/>
          <w:szCs w:val="24"/>
        </w:rPr>
        <w:t>job-related accidents</w:t>
      </w:r>
      <w:r w:rsidRPr="009F0E66">
        <w:rPr>
          <w:rFonts w:ascii="Arial" w:eastAsia="Times New Roman" w:hAnsi="Arial" w:cs="Arial"/>
          <w:color w:val="000000"/>
          <w:spacing w:val="2"/>
          <w:sz w:val="24"/>
          <w:szCs w:val="24"/>
        </w:rPr>
        <w:t>.</w:t>
      </w:r>
    </w:p>
    <w:p w:rsidR="009F0E66" w:rsidRPr="009F0E66" w:rsidRDefault="009F0E66" w:rsidP="009F0E66">
      <w:pPr>
        <w:numPr>
          <w:ilvl w:val="0"/>
          <w:numId w:val="1"/>
        </w:numPr>
        <w:shd w:val="clear" w:color="auto" w:fill="FCFCFC"/>
        <w:spacing w:before="100" w:beforeAutospacing="1" w:after="100" w:afterAutospacing="1" w:line="240" w:lineRule="auto"/>
        <w:ind w:left="0"/>
        <w:jc w:val="both"/>
        <w:rPr>
          <w:rFonts w:ascii="Arial" w:eastAsia="Times New Roman" w:hAnsi="Arial" w:cs="Arial"/>
          <w:color w:val="000000"/>
          <w:spacing w:val="2"/>
          <w:sz w:val="24"/>
          <w:szCs w:val="24"/>
        </w:rPr>
      </w:pPr>
      <w:r w:rsidRPr="009F0E66">
        <w:rPr>
          <w:rFonts w:ascii="Arial" w:eastAsia="Times New Roman" w:hAnsi="Arial" w:cs="Arial"/>
          <w:b/>
          <w:bCs/>
          <w:color w:val="000000"/>
          <w:spacing w:val="2"/>
          <w:sz w:val="24"/>
          <w:szCs w:val="24"/>
        </w:rPr>
        <w:t>Emission rates,</w:t>
      </w:r>
      <w:r w:rsidRPr="009F0E66">
        <w:rPr>
          <w:rFonts w:ascii="Arial" w:eastAsia="Times New Roman" w:hAnsi="Arial" w:cs="Arial"/>
          <w:color w:val="000000"/>
          <w:spacing w:val="2"/>
          <w:sz w:val="24"/>
          <w:szCs w:val="24"/>
        </w:rPr>
        <w:t> spills and volume of </w:t>
      </w:r>
      <w:r w:rsidRPr="009F0E66">
        <w:rPr>
          <w:rFonts w:ascii="Arial" w:eastAsia="Times New Roman" w:hAnsi="Arial" w:cs="Arial"/>
          <w:b/>
          <w:bCs/>
          <w:color w:val="000000"/>
          <w:spacing w:val="2"/>
          <w:sz w:val="24"/>
          <w:szCs w:val="24"/>
        </w:rPr>
        <w:t>hazardous waste</w:t>
      </w:r>
      <w:r w:rsidRPr="009F0E66">
        <w:rPr>
          <w:rFonts w:ascii="Arial" w:eastAsia="Times New Roman" w:hAnsi="Arial" w:cs="Arial"/>
          <w:color w:val="000000"/>
          <w:spacing w:val="2"/>
          <w:sz w:val="24"/>
          <w:szCs w:val="24"/>
        </w:rPr>
        <w:t> generated.</w:t>
      </w:r>
    </w:p>
    <w:p w:rsidR="009F0E66" w:rsidRPr="009F0E66" w:rsidRDefault="009F0E66" w:rsidP="009F0E66">
      <w:pPr>
        <w:numPr>
          <w:ilvl w:val="0"/>
          <w:numId w:val="1"/>
        </w:numPr>
        <w:shd w:val="clear" w:color="auto" w:fill="FCFCFC"/>
        <w:spacing w:before="100" w:beforeAutospacing="1" w:after="100" w:afterAutospacing="1" w:line="240" w:lineRule="auto"/>
        <w:ind w:left="0"/>
        <w:jc w:val="both"/>
        <w:rPr>
          <w:rFonts w:ascii="Arial" w:eastAsia="Times New Roman" w:hAnsi="Arial" w:cs="Arial"/>
          <w:color w:val="000000"/>
          <w:spacing w:val="2"/>
          <w:sz w:val="24"/>
          <w:szCs w:val="24"/>
        </w:rPr>
      </w:pPr>
      <w:r w:rsidRPr="009F0E66">
        <w:rPr>
          <w:rFonts w:ascii="Arial" w:eastAsia="Times New Roman" w:hAnsi="Arial" w:cs="Arial"/>
          <w:color w:val="000000"/>
          <w:spacing w:val="2"/>
          <w:sz w:val="24"/>
          <w:szCs w:val="24"/>
        </w:rPr>
        <w:t>Use of </w:t>
      </w:r>
      <w:r w:rsidRPr="009F0E66">
        <w:rPr>
          <w:rFonts w:ascii="Arial" w:eastAsia="Times New Roman" w:hAnsi="Arial" w:cs="Arial"/>
          <w:b/>
          <w:bCs/>
          <w:color w:val="000000"/>
          <w:spacing w:val="2"/>
          <w:sz w:val="24"/>
          <w:szCs w:val="24"/>
        </w:rPr>
        <w:t>scarce resources</w:t>
      </w:r>
      <w:r w:rsidRPr="009F0E66">
        <w:rPr>
          <w:rFonts w:ascii="Arial" w:eastAsia="Times New Roman" w:hAnsi="Arial" w:cs="Arial"/>
          <w:color w:val="000000"/>
          <w:spacing w:val="2"/>
          <w:sz w:val="24"/>
          <w:szCs w:val="24"/>
        </w:rPr>
        <w:t> such as water or lumber.</w:t>
      </w:r>
    </w:p>
    <w:p w:rsidR="009F0E66" w:rsidRPr="009F0E66" w:rsidRDefault="009F0E66" w:rsidP="009F0E66">
      <w:pPr>
        <w:numPr>
          <w:ilvl w:val="0"/>
          <w:numId w:val="1"/>
        </w:numPr>
        <w:shd w:val="clear" w:color="auto" w:fill="FCFCFC"/>
        <w:spacing w:before="100" w:beforeAutospacing="1" w:after="100" w:afterAutospacing="1" w:line="240" w:lineRule="auto"/>
        <w:ind w:left="0"/>
        <w:jc w:val="both"/>
        <w:rPr>
          <w:rFonts w:ascii="Arial" w:eastAsia="Times New Roman" w:hAnsi="Arial" w:cs="Arial"/>
          <w:color w:val="000000"/>
          <w:spacing w:val="2"/>
          <w:sz w:val="24"/>
          <w:szCs w:val="24"/>
        </w:rPr>
      </w:pPr>
      <w:r w:rsidRPr="009F0E66">
        <w:rPr>
          <w:rFonts w:ascii="Arial" w:eastAsia="Times New Roman" w:hAnsi="Arial" w:cs="Arial"/>
          <w:color w:val="000000"/>
          <w:spacing w:val="2"/>
          <w:sz w:val="24"/>
          <w:szCs w:val="24"/>
        </w:rPr>
        <w:t>Information about </w:t>
      </w:r>
      <w:r w:rsidRPr="009F0E66">
        <w:rPr>
          <w:rFonts w:ascii="Arial" w:eastAsia="Times New Roman" w:hAnsi="Arial" w:cs="Arial"/>
          <w:b/>
          <w:bCs/>
          <w:color w:val="000000"/>
          <w:spacing w:val="2"/>
          <w:sz w:val="24"/>
          <w:szCs w:val="24"/>
        </w:rPr>
        <w:t>ethical initiatives</w:t>
      </w:r>
      <w:r w:rsidRPr="009F0E66">
        <w:rPr>
          <w:rFonts w:ascii="Arial" w:eastAsia="Times New Roman" w:hAnsi="Arial" w:cs="Arial"/>
          <w:color w:val="000000"/>
          <w:spacing w:val="2"/>
          <w:sz w:val="24"/>
          <w:szCs w:val="24"/>
        </w:rPr>
        <w:t> within the company, such as labor practices, education, philanthropic efforts, human rights and diversity.</w:t>
      </w:r>
    </w:p>
    <w:p w:rsidR="009F0E66" w:rsidRPr="009F0E66" w:rsidRDefault="009F0E66" w:rsidP="009F0E66">
      <w:pPr>
        <w:numPr>
          <w:ilvl w:val="0"/>
          <w:numId w:val="1"/>
        </w:numPr>
        <w:shd w:val="clear" w:color="auto" w:fill="FCFCFC"/>
        <w:spacing w:before="100" w:beforeAutospacing="1" w:after="100" w:afterAutospacing="1" w:line="240" w:lineRule="auto"/>
        <w:ind w:left="0"/>
        <w:jc w:val="both"/>
        <w:rPr>
          <w:rFonts w:ascii="Arial" w:eastAsia="Times New Roman" w:hAnsi="Arial" w:cs="Arial"/>
          <w:color w:val="000000"/>
          <w:spacing w:val="2"/>
          <w:sz w:val="24"/>
          <w:szCs w:val="24"/>
        </w:rPr>
      </w:pPr>
      <w:r w:rsidRPr="009F0E66">
        <w:rPr>
          <w:rFonts w:ascii="Arial" w:eastAsia="Times New Roman" w:hAnsi="Arial" w:cs="Arial"/>
          <w:color w:val="000000"/>
          <w:spacing w:val="2"/>
          <w:sz w:val="24"/>
          <w:szCs w:val="24"/>
        </w:rPr>
        <w:t>Links between </w:t>
      </w:r>
      <w:r w:rsidRPr="009F0E66">
        <w:rPr>
          <w:rFonts w:ascii="Arial" w:eastAsia="Times New Roman" w:hAnsi="Arial" w:cs="Arial"/>
          <w:b/>
          <w:bCs/>
          <w:color w:val="000000"/>
          <w:spacing w:val="2"/>
          <w:sz w:val="24"/>
          <w:szCs w:val="24"/>
        </w:rPr>
        <w:t>executive pay</w:t>
      </w:r>
      <w:r w:rsidRPr="009F0E66">
        <w:rPr>
          <w:rFonts w:ascii="Arial" w:eastAsia="Times New Roman" w:hAnsi="Arial" w:cs="Arial"/>
          <w:color w:val="000000"/>
          <w:spacing w:val="2"/>
          <w:sz w:val="24"/>
          <w:szCs w:val="24"/>
        </w:rPr>
        <w:t> and sustainability criteria.</w:t>
      </w:r>
    </w:p>
    <w:p w:rsidR="009F0E66" w:rsidRDefault="009F0E66" w:rsidP="009F0E66">
      <w:pPr>
        <w:pStyle w:val="Heading2"/>
        <w:shd w:val="clear" w:color="auto" w:fill="FCFCFC"/>
        <w:jc w:val="both"/>
        <w:rPr>
          <w:rFonts w:ascii="Arial" w:hAnsi="Arial" w:cs="Arial"/>
          <w:b w:val="0"/>
          <w:bCs w:val="0"/>
          <w:color w:val="000000"/>
          <w:spacing w:val="1"/>
        </w:rPr>
      </w:pPr>
      <w:r>
        <w:rPr>
          <w:rFonts w:ascii="Arial" w:hAnsi="Arial" w:cs="Arial"/>
          <w:b w:val="0"/>
          <w:bCs w:val="0"/>
          <w:color w:val="000000"/>
          <w:spacing w:val="1"/>
        </w:rPr>
        <w:t>Reporting Framework for Social Responsibility Accounting</w:t>
      </w:r>
    </w:p>
    <w:p w:rsidR="009F0E66" w:rsidRDefault="009F0E66" w:rsidP="009F0E66">
      <w:pPr>
        <w:pStyle w:val="NormalWeb"/>
        <w:shd w:val="clear" w:color="auto" w:fill="FCFCFC"/>
        <w:jc w:val="both"/>
        <w:rPr>
          <w:rFonts w:ascii="Arial" w:hAnsi="Arial" w:cs="Arial"/>
          <w:color w:val="000000"/>
          <w:spacing w:val="2"/>
        </w:rPr>
      </w:pPr>
      <w:r>
        <w:rPr>
          <w:rFonts w:ascii="Arial" w:hAnsi="Arial" w:cs="Arial"/>
          <w:color w:val="000000"/>
          <w:spacing w:val="2"/>
        </w:rPr>
        <w:t>It's important for accounting information to be comparable, so companies that use social responsibility accounting need a </w:t>
      </w:r>
      <w:r>
        <w:rPr>
          <w:rStyle w:val="Strong"/>
          <w:rFonts w:ascii="Arial" w:hAnsi="Arial" w:cs="Arial"/>
          <w:color w:val="000000"/>
          <w:spacing w:val="2"/>
        </w:rPr>
        <w:t>consistent framework</w:t>
      </w:r>
      <w:r>
        <w:rPr>
          <w:rFonts w:ascii="Arial" w:hAnsi="Arial" w:cs="Arial"/>
          <w:color w:val="000000"/>
          <w:spacing w:val="2"/>
        </w:rPr>
        <w:t> to work under. Companies can currently use the </w:t>
      </w:r>
      <w:r>
        <w:rPr>
          <w:rStyle w:val="Strong"/>
          <w:rFonts w:ascii="Arial" w:hAnsi="Arial" w:cs="Arial"/>
          <w:color w:val="000000"/>
          <w:spacing w:val="2"/>
        </w:rPr>
        <w:t>Global Reporting Initiative Framework</w:t>
      </w:r>
      <w:r>
        <w:rPr>
          <w:rFonts w:ascii="Arial" w:hAnsi="Arial" w:cs="Arial"/>
          <w:color w:val="000000"/>
          <w:spacing w:val="2"/>
        </w:rPr>
        <w:t>, which the AICPA calls the de facto standard for sustainability reporting. Leading professionals in the fields of business, accounting and regulation have formed a </w:t>
      </w:r>
      <w:r>
        <w:rPr>
          <w:rStyle w:val="Strong"/>
          <w:rFonts w:ascii="Arial" w:hAnsi="Arial" w:cs="Arial"/>
          <w:color w:val="000000"/>
          <w:spacing w:val="2"/>
        </w:rPr>
        <w:t>Climate Disclosures Standards Board</w:t>
      </w:r>
      <w:r>
        <w:rPr>
          <w:rFonts w:ascii="Arial" w:hAnsi="Arial" w:cs="Arial"/>
          <w:color w:val="000000"/>
          <w:spacing w:val="2"/>
        </w:rPr>
        <w:t> to develop a framework for environmental reporting.</w:t>
      </w:r>
    </w:p>
    <w:p w:rsidR="009F0E66" w:rsidRDefault="009F0E66" w:rsidP="009F0E66">
      <w:pPr>
        <w:pStyle w:val="NormalWeb"/>
        <w:shd w:val="clear" w:color="auto" w:fill="FCFCFC"/>
        <w:jc w:val="both"/>
        <w:rPr>
          <w:rFonts w:ascii="Arial" w:hAnsi="Arial" w:cs="Arial"/>
          <w:color w:val="000000"/>
          <w:spacing w:val="2"/>
        </w:rPr>
      </w:pPr>
    </w:p>
    <w:p w:rsidR="009F0E66" w:rsidRDefault="009F0E66" w:rsidP="009F0E66">
      <w:pPr>
        <w:pStyle w:val="NormalWeb"/>
        <w:shd w:val="clear" w:color="auto" w:fill="FCFCFC"/>
        <w:jc w:val="both"/>
        <w:rPr>
          <w:rFonts w:ascii="Arial" w:hAnsi="Arial" w:cs="Arial"/>
          <w:color w:val="000000"/>
          <w:spacing w:val="2"/>
        </w:rPr>
      </w:pPr>
    </w:p>
    <w:p w:rsidR="009F0E66" w:rsidRDefault="009F0E66" w:rsidP="009F0E66">
      <w:pPr>
        <w:pStyle w:val="Heading2"/>
        <w:shd w:val="clear" w:color="auto" w:fill="FCFCFC"/>
        <w:jc w:val="both"/>
        <w:rPr>
          <w:rFonts w:ascii="Arial" w:hAnsi="Arial" w:cs="Arial"/>
          <w:b w:val="0"/>
          <w:bCs w:val="0"/>
          <w:color w:val="000000"/>
          <w:spacing w:val="1"/>
        </w:rPr>
      </w:pPr>
      <w:r>
        <w:rPr>
          <w:rFonts w:ascii="Arial" w:hAnsi="Arial" w:cs="Arial"/>
          <w:b w:val="0"/>
          <w:bCs w:val="0"/>
          <w:color w:val="000000"/>
          <w:spacing w:val="1"/>
        </w:rPr>
        <w:lastRenderedPageBreak/>
        <w:t>Use of Social Responsibility Accounting</w:t>
      </w:r>
    </w:p>
    <w:p w:rsidR="009F0E66" w:rsidRDefault="009F0E66" w:rsidP="009F0E66">
      <w:pPr>
        <w:pStyle w:val="NormalWeb"/>
        <w:shd w:val="clear" w:color="auto" w:fill="FCFCFC"/>
        <w:jc w:val="both"/>
        <w:rPr>
          <w:rFonts w:ascii="Arial" w:hAnsi="Arial" w:cs="Arial"/>
          <w:color w:val="000000"/>
          <w:spacing w:val="2"/>
        </w:rPr>
      </w:pPr>
      <w:r>
        <w:rPr>
          <w:rFonts w:ascii="Arial" w:hAnsi="Arial" w:cs="Arial"/>
          <w:color w:val="000000"/>
          <w:spacing w:val="2"/>
        </w:rPr>
        <w:t>Companies that have stock listed on a U.S. stock exchange are required to report their financial information, but are </w:t>
      </w:r>
      <w:r>
        <w:rPr>
          <w:rStyle w:val="Strong"/>
          <w:rFonts w:ascii="Arial" w:hAnsi="Arial" w:cs="Arial"/>
          <w:color w:val="000000"/>
          <w:spacing w:val="2"/>
        </w:rPr>
        <w:t>not required</w:t>
      </w:r>
      <w:r>
        <w:rPr>
          <w:rFonts w:ascii="Arial" w:hAnsi="Arial" w:cs="Arial"/>
          <w:color w:val="000000"/>
          <w:spacing w:val="2"/>
        </w:rPr>
        <w:t> to report on their social and sustainability information. Because of this, not many businesses report the information thoroughly. According to a 2013 </w:t>
      </w:r>
      <w:hyperlink r:id="rId8" w:tgtFrame="_blank" w:history="1">
        <w:r>
          <w:rPr>
            <w:rStyle w:val="Hyperlink"/>
            <w:rFonts w:ascii="Arial" w:hAnsi="Arial" w:cs="Arial"/>
            <w:color w:val="000000"/>
            <w:spacing w:val="2"/>
            <w:u w:val="none"/>
          </w:rPr>
          <w:t>study</w:t>
        </w:r>
      </w:hyperlink>
      <w:r>
        <w:rPr>
          <w:rFonts w:ascii="Arial" w:hAnsi="Arial" w:cs="Arial"/>
          <w:color w:val="000000"/>
          <w:spacing w:val="2"/>
        </w:rPr>
        <w:t> performed by the Investor Responsibility Research Institute, </w:t>
      </w:r>
      <w:r>
        <w:rPr>
          <w:rStyle w:val="Strong"/>
          <w:rFonts w:ascii="Arial" w:hAnsi="Arial" w:cs="Arial"/>
          <w:color w:val="000000"/>
          <w:spacing w:val="2"/>
        </w:rPr>
        <w:t>only 1.4 percent</w:t>
      </w:r>
      <w:r>
        <w:rPr>
          <w:rFonts w:ascii="Arial" w:hAnsi="Arial" w:cs="Arial"/>
          <w:color w:val="000000"/>
          <w:spacing w:val="2"/>
        </w:rPr>
        <w:t> of companies listed in the S&amp;P 500 - seven, to be exact - issue a full-fledged statement on sustainability reporting. However, </w:t>
      </w:r>
      <w:r>
        <w:rPr>
          <w:rStyle w:val="Strong"/>
          <w:rFonts w:ascii="Arial" w:hAnsi="Arial" w:cs="Arial"/>
          <w:color w:val="000000"/>
          <w:spacing w:val="2"/>
        </w:rPr>
        <w:t>all but one</w:t>
      </w:r>
      <w:r>
        <w:rPr>
          <w:rFonts w:ascii="Arial" w:hAnsi="Arial" w:cs="Arial"/>
          <w:color w:val="000000"/>
          <w:spacing w:val="2"/>
        </w:rPr>
        <w:t> of the S&amp;P 500 makes some sort of disclosure about sustainability, and </w:t>
      </w:r>
      <w:r>
        <w:rPr>
          <w:rStyle w:val="Strong"/>
          <w:rFonts w:ascii="Arial" w:hAnsi="Arial" w:cs="Arial"/>
          <w:color w:val="000000"/>
          <w:spacing w:val="2"/>
        </w:rPr>
        <w:t>nearly half</w:t>
      </w:r>
      <w:r>
        <w:rPr>
          <w:rFonts w:ascii="Arial" w:hAnsi="Arial" w:cs="Arial"/>
          <w:color w:val="000000"/>
          <w:spacing w:val="2"/>
        </w:rPr>
        <w:t> link executive compensation to some sort of sustainability criteria.</w:t>
      </w:r>
    </w:p>
    <w:p w:rsidR="009F0E66" w:rsidRDefault="009F0E66" w:rsidP="009F0E66">
      <w:pPr>
        <w:pStyle w:val="NormalWeb"/>
        <w:shd w:val="clear" w:color="auto" w:fill="FCFCFC"/>
        <w:jc w:val="both"/>
        <w:rPr>
          <w:rFonts w:ascii="Arial" w:hAnsi="Arial" w:cs="Arial"/>
          <w:color w:val="000000"/>
          <w:spacing w:val="2"/>
        </w:rPr>
      </w:pPr>
      <w:r>
        <w:rPr>
          <w:rFonts w:ascii="Arial" w:hAnsi="Arial" w:cs="Arial"/>
          <w:color w:val="000000"/>
          <w:spacing w:val="2"/>
        </w:rPr>
        <w:t>In India, All companies whose threshold limit of turnover and profit exceed prescribed limits, expenses on CSR under prescribed heading is made mandatory.</w:t>
      </w:r>
    </w:p>
    <w:p w:rsidR="003209DE" w:rsidRDefault="003209DE" w:rsidP="003209DE">
      <w:pPr>
        <w:jc w:val="both"/>
      </w:pPr>
    </w:p>
    <w:sectPr w:rsidR="003209D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BEB" w:rsidRDefault="00372BEB" w:rsidP="001857F2">
      <w:pPr>
        <w:spacing w:after="0" w:line="240" w:lineRule="auto"/>
      </w:pPr>
      <w:r>
        <w:separator/>
      </w:r>
    </w:p>
  </w:endnote>
  <w:endnote w:type="continuationSeparator" w:id="1">
    <w:p w:rsidR="00372BEB" w:rsidRDefault="00372BEB" w:rsidP="001857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7F2" w:rsidRDefault="001857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0597"/>
      <w:docPartObj>
        <w:docPartGallery w:val="Page Numbers (Bottom of Page)"/>
        <w:docPartUnique/>
      </w:docPartObj>
    </w:sdtPr>
    <w:sdtContent>
      <w:p w:rsidR="001857F2" w:rsidRDefault="001857F2">
        <w:pPr>
          <w:pStyle w:val="Footer"/>
          <w:jc w:val="center"/>
        </w:pPr>
        <w:fldSimple w:instr=" PAGE   \* MERGEFORMAT ">
          <w:r>
            <w:rPr>
              <w:noProof/>
            </w:rPr>
            <w:t>2</w:t>
          </w:r>
        </w:fldSimple>
      </w:p>
    </w:sdtContent>
  </w:sdt>
  <w:p w:rsidR="001857F2" w:rsidRDefault="001857F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7F2" w:rsidRDefault="001857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BEB" w:rsidRDefault="00372BEB" w:rsidP="001857F2">
      <w:pPr>
        <w:spacing w:after="0" w:line="240" w:lineRule="auto"/>
      </w:pPr>
      <w:r>
        <w:separator/>
      </w:r>
    </w:p>
  </w:footnote>
  <w:footnote w:type="continuationSeparator" w:id="1">
    <w:p w:rsidR="00372BEB" w:rsidRDefault="00372BEB" w:rsidP="001857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7F2" w:rsidRDefault="001857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7F2" w:rsidRDefault="001857F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7F2" w:rsidRDefault="001857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A4276"/>
    <w:multiLevelType w:val="multilevel"/>
    <w:tmpl w:val="90D2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209DE"/>
    <w:rsid w:val="001857F2"/>
    <w:rsid w:val="003209DE"/>
    <w:rsid w:val="00372BEB"/>
    <w:rsid w:val="009F0E66"/>
    <w:rsid w:val="00B637B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0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09DE"/>
    <w:rPr>
      <w:b/>
      <w:bCs/>
    </w:rPr>
  </w:style>
  <w:style w:type="character" w:customStyle="1" w:styleId="Heading2Char">
    <w:name w:val="Heading 2 Char"/>
    <w:basedOn w:val="DefaultParagraphFont"/>
    <w:link w:val="Heading2"/>
    <w:uiPriority w:val="9"/>
    <w:rsid w:val="003209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09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09DE"/>
    <w:rPr>
      <w:color w:val="0000FF"/>
      <w:u w:val="single"/>
    </w:rPr>
  </w:style>
  <w:style w:type="paragraph" w:styleId="Header">
    <w:name w:val="header"/>
    <w:basedOn w:val="Normal"/>
    <w:link w:val="HeaderChar"/>
    <w:uiPriority w:val="99"/>
    <w:semiHidden/>
    <w:unhideWhenUsed/>
    <w:rsid w:val="001857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857F2"/>
  </w:style>
  <w:style w:type="paragraph" w:styleId="Footer">
    <w:name w:val="footer"/>
    <w:basedOn w:val="Normal"/>
    <w:link w:val="FooterChar"/>
    <w:uiPriority w:val="99"/>
    <w:unhideWhenUsed/>
    <w:rsid w:val="00185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7F2"/>
  </w:style>
</w:styles>
</file>

<file path=word/webSettings.xml><?xml version="1.0" encoding="utf-8"?>
<w:webSettings xmlns:r="http://schemas.openxmlformats.org/officeDocument/2006/relationships" xmlns:w="http://schemas.openxmlformats.org/wordprocessingml/2006/main">
  <w:divs>
    <w:div w:id="296961362">
      <w:bodyDiv w:val="1"/>
      <w:marLeft w:val="0"/>
      <w:marRight w:val="0"/>
      <w:marTop w:val="0"/>
      <w:marBottom w:val="0"/>
      <w:divBdr>
        <w:top w:val="none" w:sz="0" w:space="0" w:color="auto"/>
        <w:left w:val="none" w:sz="0" w:space="0" w:color="auto"/>
        <w:bottom w:val="none" w:sz="0" w:space="0" w:color="auto"/>
        <w:right w:val="none" w:sz="0" w:space="0" w:color="auto"/>
      </w:divBdr>
    </w:div>
    <w:div w:id="749885459">
      <w:bodyDiv w:val="1"/>
      <w:marLeft w:val="0"/>
      <w:marRight w:val="0"/>
      <w:marTop w:val="0"/>
      <w:marBottom w:val="0"/>
      <w:divBdr>
        <w:top w:val="none" w:sz="0" w:space="0" w:color="auto"/>
        <w:left w:val="none" w:sz="0" w:space="0" w:color="auto"/>
        <w:bottom w:val="none" w:sz="0" w:space="0" w:color="auto"/>
        <w:right w:val="none" w:sz="0" w:space="0" w:color="auto"/>
      </w:divBdr>
      <w:divsChild>
        <w:div w:id="681005463">
          <w:marLeft w:val="0"/>
          <w:marRight w:val="0"/>
          <w:marTop w:val="0"/>
          <w:marBottom w:val="0"/>
          <w:divBdr>
            <w:top w:val="none" w:sz="0" w:space="0" w:color="auto"/>
            <w:left w:val="none" w:sz="0" w:space="0" w:color="auto"/>
            <w:bottom w:val="none" w:sz="0" w:space="0" w:color="auto"/>
            <w:right w:val="none" w:sz="0" w:space="0" w:color="auto"/>
          </w:divBdr>
        </w:div>
      </w:divsChild>
    </w:div>
    <w:div w:id="937786382">
      <w:bodyDiv w:val="1"/>
      <w:marLeft w:val="0"/>
      <w:marRight w:val="0"/>
      <w:marTop w:val="0"/>
      <w:marBottom w:val="0"/>
      <w:divBdr>
        <w:top w:val="none" w:sz="0" w:space="0" w:color="auto"/>
        <w:left w:val="none" w:sz="0" w:space="0" w:color="auto"/>
        <w:bottom w:val="none" w:sz="0" w:space="0" w:color="auto"/>
        <w:right w:val="none" w:sz="0" w:space="0" w:color="auto"/>
      </w:divBdr>
      <w:divsChild>
        <w:div w:id="1093088738">
          <w:marLeft w:val="0"/>
          <w:marRight w:val="0"/>
          <w:marTop w:val="0"/>
          <w:marBottom w:val="0"/>
          <w:divBdr>
            <w:top w:val="none" w:sz="0" w:space="0" w:color="auto"/>
            <w:left w:val="none" w:sz="0" w:space="0" w:color="auto"/>
            <w:bottom w:val="none" w:sz="0" w:space="0" w:color="auto"/>
            <w:right w:val="none" w:sz="0" w:space="0" w:color="auto"/>
          </w:divBdr>
          <w:divsChild>
            <w:div w:id="1980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0436">
      <w:bodyDiv w:val="1"/>
      <w:marLeft w:val="0"/>
      <w:marRight w:val="0"/>
      <w:marTop w:val="0"/>
      <w:marBottom w:val="0"/>
      <w:divBdr>
        <w:top w:val="none" w:sz="0" w:space="0" w:color="auto"/>
        <w:left w:val="none" w:sz="0" w:space="0" w:color="auto"/>
        <w:bottom w:val="none" w:sz="0" w:space="0" w:color="auto"/>
        <w:right w:val="none" w:sz="0" w:space="0" w:color="auto"/>
      </w:divBdr>
      <w:divsChild>
        <w:div w:id="1879706140">
          <w:marLeft w:val="0"/>
          <w:marRight w:val="0"/>
          <w:marTop w:val="0"/>
          <w:marBottom w:val="0"/>
          <w:divBdr>
            <w:top w:val="none" w:sz="0" w:space="0" w:color="auto"/>
            <w:left w:val="none" w:sz="0" w:space="0" w:color="auto"/>
            <w:bottom w:val="none" w:sz="0" w:space="0" w:color="auto"/>
            <w:right w:val="none" w:sz="0" w:space="0" w:color="auto"/>
          </w:divBdr>
        </w:div>
      </w:divsChild>
    </w:div>
    <w:div w:id="1907916235">
      <w:bodyDiv w:val="1"/>
      <w:marLeft w:val="0"/>
      <w:marRight w:val="0"/>
      <w:marTop w:val="0"/>
      <w:marBottom w:val="0"/>
      <w:divBdr>
        <w:top w:val="none" w:sz="0" w:space="0" w:color="auto"/>
        <w:left w:val="none" w:sz="0" w:space="0" w:color="auto"/>
        <w:bottom w:val="none" w:sz="0" w:space="0" w:color="auto"/>
        <w:right w:val="none" w:sz="0" w:space="0" w:color="auto"/>
      </w:divBdr>
      <w:divsChild>
        <w:div w:id="219639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rrcinstitute.org/pdf/FINAL_Integrated_Financial_Sustain_Reporting_April_2013.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aicpa.org/interestareas/businessindustryandgovernment/resources/sustainability/pages/sustainabilityfaqs.asp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5</cp:revision>
  <dcterms:created xsi:type="dcterms:W3CDTF">2019-10-24T05:27:00Z</dcterms:created>
  <dcterms:modified xsi:type="dcterms:W3CDTF">2019-10-24T05:37:00Z</dcterms:modified>
</cp:coreProperties>
</file>