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34"/>
          <w:szCs w:val="3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sz w:val="34"/>
          <w:szCs w:val="34"/>
          <w:u w:val="single"/>
          <w:rtl w:val="0"/>
        </w:rPr>
        <w:t xml:space="preserve">Week 2 - NUnit and Moq - Hands-On</w:t>
      </w:r>
    </w:p>
    <w:p w:rsidR="00000000" w:rsidDel="00000000" w:rsidP="00000000" w:rsidRDefault="00000000" w:rsidRPr="00000000" w14:paraId="00000002">
      <w:pPr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  <w:rtl w:val="0"/>
        </w:rPr>
        <w:t xml:space="preserve">NUnit_Hands-On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rFonts w:ascii="Open Sans" w:cs="Open Sans" w:eastAsia="Open Sans" w:hAnsi="Open Sans"/>
          <w:b w:val="1"/>
          <w:i w:val="1"/>
          <w:color w:val="0b5394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33333"/>
          <w:sz w:val="26"/>
          <w:szCs w:val="26"/>
          <w:rtl w:val="0"/>
        </w:rPr>
        <w:t xml:space="preserve">    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0b5394"/>
          <w:sz w:val="26"/>
          <w:szCs w:val="26"/>
          <w:rtl w:val="0"/>
        </w:rPr>
        <w:t xml:space="preserve">TestFixture &amp; Test:</w:t>
      </w:r>
    </w:p>
    <w:p w:rsidR="00000000" w:rsidDel="00000000" w:rsidP="00000000" w:rsidRDefault="00000000" w:rsidRPr="00000000" w14:paraId="00000005">
      <w:pPr>
        <w:shd w:fill="ffffff" w:val="clear"/>
        <w:spacing w:after="160" w:before="240" w:line="240" w:lineRule="auto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Follow the steps listed below to write the NUnit test cases for the application.</w:t>
      </w:r>
    </w:p>
    <w:p w:rsidR="00000000" w:rsidDel="00000000" w:rsidP="00000000" w:rsidRDefault="00000000" w:rsidRPr="00000000" w14:paraId="00000006">
      <w:pPr>
        <w:shd w:fill="ffffff" w:val="clear"/>
        <w:spacing w:after="160" w:before="240" w:line="240" w:lineRule="auto"/>
        <w:ind w:left="1080" w:hanging="360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· Create a Unit test project(.Net Framework) in the solution provided.</w:t>
      </w:r>
    </w:p>
    <w:p w:rsidR="00000000" w:rsidDel="00000000" w:rsidP="00000000" w:rsidRDefault="00000000" w:rsidRPr="00000000" w14:paraId="00000007">
      <w:pPr>
        <w:shd w:fill="ffffff" w:val="clear"/>
        <w:spacing w:after="160" w:before="240" w:line="240" w:lineRule="auto"/>
        <w:ind w:left="1080" w:hanging="360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· Add the CalcLibrary project as reference</w:t>
      </w:r>
    </w:p>
    <w:p w:rsidR="00000000" w:rsidDel="00000000" w:rsidP="00000000" w:rsidRDefault="00000000" w:rsidRPr="00000000" w14:paraId="00000008">
      <w:pPr>
        <w:shd w:fill="ffffff" w:val="clear"/>
        <w:spacing w:after="160" w:before="240" w:line="240" w:lineRule="auto"/>
        <w:ind w:left="1080" w:hanging="360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· Create a class “CalculatorTests” to write all the test cases for the methods in the solution</w:t>
      </w:r>
    </w:p>
    <w:p w:rsidR="00000000" w:rsidDel="00000000" w:rsidP="00000000" w:rsidRDefault="00000000" w:rsidRPr="00000000" w14:paraId="00000009">
      <w:pPr>
        <w:shd w:fill="ffffff" w:val="clear"/>
        <w:spacing w:after="160" w:before="240" w:line="240" w:lineRule="auto"/>
        <w:ind w:left="1080" w:hanging="360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· Use the ‘TestFixture’, ‘SetUp’ and ‘TearDown’ attributes, to declare, initialize and cleanup activities respectively</w:t>
      </w:r>
    </w:p>
    <w:p w:rsidR="00000000" w:rsidDel="00000000" w:rsidP="00000000" w:rsidRDefault="00000000" w:rsidRPr="00000000" w14:paraId="0000000A">
      <w:pPr>
        <w:shd w:fill="ffffff" w:val="clear"/>
        <w:spacing w:after="160" w:before="240" w:line="240" w:lineRule="auto"/>
        <w:ind w:left="1080" w:hanging="360"/>
        <w:rPr>
          <w:rFonts w:ascii="Open Sans" w:cs="Open Sans" w:eastAsia="Open Sans" w:hAnsi="Open Sans"/>
          <w:i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666666"/>
          <w:rtl w:val="0"/>
        </w:rPr>
        <w:t xml:space="preserve">· Create a Test method to check the addition functionality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  <w:sz w:val="24"/>
          <w:szCs w:val="24"/>
          <w:u w:val="single"/>
          <w:rtl w:val="0"/>
        </w:rPr>
        <w:t xml:space="preserve">Unit Test Code: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using NUnit.Framework;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using CalcLibrary;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using System;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namespace CalcLibrary.Tests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[TestFixture]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public class CalculatorTests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private SimpleCalculator calc;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[SetUp]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Setup()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calc = new SimpleCalculator();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[TearDown]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Cleanup()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calc.AllClear();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[TestCase(5, 3, 8)]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[TestCase(-2, 2, 0)]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[TestCase(10.5, 4.5, 15.0)]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Addition_ShouldReturnCorrectResult(double a, double b, double expected)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var result = calc.Addition(a, b);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[TestCase(10, 3, 7)]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[TestCase(0, 5, -5)]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Subtraction_ShouldReturnCorrectResult(double a, double b, double expected)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var result = calc.Subtraction(a, b);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[TestCase(4, 5, 20)]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[TestCase(-3, 3, -9)]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Multiplication_ShouldReturnCorrectResult(double a, double b, double expected)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var result = calc.Multiplication(a, b);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[TestCase(20, 4, 5)]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[TestCase(9, 3, 3)]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Division_ShouldReturnCorrectResult(double a, double b, double expected)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var result = calc.Division(a, b);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Assert.AreEqual(expected, result);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[Test]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public void Division_ByZero_ShouldThrowException()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    Assert.Throws&lt;ArgumentException&gt;(() =&gt; calc.Division(10, 0));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B">
      <w:pPr>
        <w:spacing w:line="240" w:lineRule="auto"/>
        <w:ind w:left="1440" w:firstLine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left="1440" w:firstLine="0"/>
        <w:rPr>
          <w:rFonts w:ascii="Open Sans" w:cs="Open Sans" w:eastAsia="Open Sans" w:hAnsi="Open Sans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5385643" cy="2692822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5643" cy="2692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480" w:lineRule="auto"/>
        <w:ind w:left="0" w:firstLine="0"/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  <w:rtl w:val="0"/>
        </w:rPr>
        <w:t xml:space="preserve">Moq Hands-On</w:t>
      </w:r>
    </w:p>
    <w:p w:rsidR="00000000" w:rsidDel="00000000" w:rsidP="00000000" w:rsidRDefault="00000000" w:rsidRPr="00000000" w14:paraId="00000058">
      <w:pPr>
        <w:spacing w:line="480" w:lineRule="auto"/>
        <w:ind w:left="0" w:firstLine="0"/>
        <w:rPr>
          <w:rFonts w:ascii="Open Sans" w:cs="Open Sans" w:eastAsia="Open Sans" w:hAnsi="Open Sans"/>
          <w:b w:val="1"/>
          <w:i w:val="1"/>
          <w:color w:val="0b5394"/>
          <w:sz w:val="26"/>
          <w:szCs w:val="26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b5394"/>
          <w:sz w:val="26"/>
          <w:szCs w:val="26"/>
          <w:rtl w:val="0"/>
        </w:rPr>
        <w:t xml:space="preserve">    1. Write Testable Code with Moq</w:t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0b5394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Scenario:</w:t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            You are assigned to unit test a module responsible for sending emails after each transaction.       </w:t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           To avoid sending actual emails during testing, you decide to mock the mail service </w:t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           dependency. This approach improves test speed and ensures loose coupling within the </w:t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           application.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  Task 1: Create the Mail Module for Testing</w:t>
      </w:r>
    </w:p>
    <w:p w:rsidR="00000000" w:rsidDel="00000000" w:rsidP="00000000" w:rsidRDefault="00000000" w:rsidRPr="00000000" w14:paraId="0000005F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Create a C# Class Library project in Visual Studio named CustomerCommLib. Rename Class1 to MailSender, and include the namespaces System.Net and System.Net.Mail.</w:t>
      </w:r>
    </w:p>
    <w:p w:rsidR="00000000" w:rsidDel="00000000" w:rsidP="00000000" w:rsidRDefault="00000000" w:rsidRPr="00000000" w14:paraId="00000060">
      <w:pPr>
        <w:spacing w:after="240" w:before="240" w:line="24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Define the interface:</w:t>
      </w:r>
    </w:p>
    <w:p w:rsidR="00000000" w:rsidDel="00000000" w:rsidP="00000000" w:rsidRDefault="00000000" w:rsidRPr="00000000" w14:paraId="00000061">
      <w:pPr>
        <w:spacing w:after="240" w:before="240" w:line="24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</w:rPr>
        <w:drawing>
          <wp:inline distB="114300" distT="114300" distL="114300" distR="114300">
            <wp:extent cx="2138363" cy="5020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50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Implement it in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MailSender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, which contains the SMTP logic to send emails.</w:t>
      </w:r>
    </w:p>
    <w:p w:rsidR="00000000" w:rsidDel="00000000" w:rsidP="00000000" w:rsidRDefault="00000000" w:rsidRPr="00000000" w14:paraId="00000063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Also, create a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CustomerComm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class that depends on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IMailSender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. Inject the dependency via the constructor and use it in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SendMailToCustomer()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to send a message. This design allows mocking </w:t>
      </w:r>
      <w:r w:rsidDel="00000000" w:rsidR="00000000" w:rsidRPr="00000000">
        <w:rPr>
          <w:rFonts w:ascii="Open Sans" w:cs="Open Sans" w:eastAsia="Open Sans" w:hAnsi="Open Sans"/>
          <w:color w:val="188038"/>
          <w:sz w:val="20"/>
          <w:szCs w:val="20"/>
          <w:rtl w:val="0"/>
        </w:rPr>
        <w:t xml:space="preserve">IMailSender</w:t>
      </w:r>
      <w:r w:rsidDel="00000000" w:rsidR="00000000" w:rsidRPr="00000000">
        <w:rPr>
          <w:rFonts w:ascii="Open Sans" w:cs="Open Sans" w:eastAsia="Open Sans" w:hAnsi="Open Sans"/>
          <w:color w:val="666666"/>
          <w:sz w:val="20"/>
          <w:szCs w:val="20"/>
          <w:rtl w:val="0"/>
        </w:rPr>
        <w:t xml:space="preserve"> during unit testing, enabling testability without triggering actual emails.</w:t>
      </w:r>
    </w:p>
    <w:p w:rsidR="00000000" w:rsidDel="00000000" w:rsidP="00000000" w:rsidRDefault="00000000" w:rsidRPr="00000000" w14:paraId="00000064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Build the project and prepare for unit testing with NUnit and Moq.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rFonts w:ascii="Open Sans" w:cs="Open Sans" w:eastAsia="Open Sans" w:hAnsi="Open Sans"/>
          <w:b w:val="1"/>
          <w:color w:val="3d85c6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d85c6"/>
          <w:u w:val="single"/>
          <w:rtl w:val="0"/>
        </w:rPr>
        <w:t xml:space="preserve">Business Logic Codes:</w:t>
      </w:r>
    </w:p>
    <w:p w:rsidR="00000000" w:rsidDel="00000000" w:rsidP="00000000" w:rsidRDefault="00000000" w:rsidRPr="00000000" w14:paraId="00000066">
      <w:pPr>
        <w:spacing w:line="240" w:lineRule="auto"/>
        <w:ind w:left="0" w:firstLine="0"/>
        <w:rPr>
          <w:rFonts w:ascii="Open Sans" w:cs="Open Sans" w:eastAsia="Open Sans" w:hAnsi="Open Sans"/>
          <w:b w:val="1"/>
          <w:i w:val="1"/>
          <w:color w:val="38761d"/>
        </w:rPr>
      </w:pPr>
      <w:hyperlink r:id="rId8">
        <w:r w:rsidDel="00000000" w:rsidR="00000000" w:rsidRPr="00000000">
          <w:rPr>
            <w:rFonts w:ascii="Open Sans" w:cs="Open Sans" w:eastAsia="Open Sans" w:hAnsi="Open Sans"/>
            <w:b w:val="1"/>
            <w:i w:val="1"/>
            <w:color w:val="38761d"/>
            <w:rtl w:val="0"/>
          </w:rPr>
          <w:t xml:space="preserve">MailSender.cs</w:t>
        </w:r>
      </w:hyperlink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</w:rPr>
        <w:drawing>
          <wp:inline distB="114300" distT="114300" distL="114300" distR="114300">
            <wp:extent cx="5681663" cy="476081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4760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rPr>
          <w:rFonts w:ascii="Open Sans" w:cs="Open Sans" w:eastAsia="Open Sans" w:hAnsi="Open Sans"/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rPr>
          <w:rFonts w:ascii="Open Sans" w:cs="Open Sans" w:eastAsia="Open Sans" w:hAnsi="Open Sans"/>
          <w:b w:val="1"/>
          <w:i w:val="1"/>
          <w:color w:val="38761d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  <w:rtl w:val="0"/>
        </w:rPr>
        <w:t xml:space="preserve">CustomerComm.cs </w:t>
      </w:r>
    </w:p>
    <w:p w:rsidR="00000000" w:rsidDel="00000000" w:rsidP="00000000" w:rsidRDefault="00000000" w:rsidRPr="00000000" w14:paraId="00000069">
      <w:pPr>
        <w:spacing w:line="360" w:lineRule="auto"/>
        <w:rPr>
          <w:rFonts w:ascii="Open Sans" w:cs="Open Sans" w:eastAsia="Open Sans" w:hAnsi="Open Sans"/>
          <w:b w:val="1"/>
          <w:i w:val="1"/>
          <w:color w:val="38761d"/>
        </w:rPr>
      </w:pP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</w:rPr>
        <w:drawing>
          <wp:inline distB="114300" distT="114300" distL="114300" distR="114300">
            <wp:extent cx="5769730" cy="307219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9730" cy="3072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Open Sans" w:cs="Open Sans" w:eastAsia="Open Sans" w:hAnsi="Open Sans"/>
          <w:b w:val="1"/>
          <w:color w:val="666666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666666"/>
          <w:rtl w:val="0"/>
        </w:rPr>
        <w:t xml:space="preserve">Task 2: Unit Testing with NUnit and Moq</w:t>
      </w:r>
    </w:p>
    <w:p w:rsidR="00000000" w:rsidDel="00000000" w:rsidP="00000000" w:rsidRDefault="00000000" w:rsidRPr="00000000" w14:paraId="0000006D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Create a test project CustomerComm.Tests and install NUnit, NUnit Test Adapter, and Moq via NuGet. Add reference to CustomerCommLib.</w:t>
      </w:r>
    </w:p>
    <w:p w:rsidR="00000000" w:rsidDel="00000000" w:rsidP="00000000" w:rsidRDefault="00000000" w:rsidRPr="00000000" w14:paraId="0000006E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Use [TestFixture], [OneTimeSetUp], and [TestCase].</w:t>
      </w:r>
    </w:p>
    <w:p w:rsidR="00000000" w:rsidDel="00000000" w:rsidP="00000000" w:rsidRDefault="00000000" w:rsidRPr="00000000" w14:paraId="0000006F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Mock IMailSender to return true for any input.</w:t>
      </w:r>
    </w:p>
    <w:p w:rsidR="00000000" w:rsidDel="00000000" w:rsidP="00000000" w:rsidRDefault="00000000" w:rsidRPr="00000000" w14:paraId="00000070">
      <w:pPr>
        <w:spacing w:after="240" w:before="240" w:line="360" w:lineRule="auto"/>
        <w:ind w:left="1800" w:hanging="360"/>
        <w:rPr>
          <w:rFonts w:ascii="Open Sans" w:cs="Open Sans" w:eastAsia="Open Sans" w:hAnsi="Open Sans"/>
          <w:color w:val="666666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0"/>
          <w:szCs w:val="20"/>
          <w:rtl w:val="0"/>
        </w:rPr>
        <w:t xml:space="preserve">● Test SendMailToCustomer() and assert the result with Assert.That.</w:t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="240" w:lineRule="auto"/>
        <w:rPr>
          <w:rFonts w:ascii="Open Sans" w:cs="Open Sans" w:eastAsia="Open Sans" w:hAnsi="Open Sans"/>
          <w:b w:val="1"/>
          <w:color w:val="3d85c6"/>
          <w:sz w:val="22"/>
          <w:szCs w:val="22"/>
          <w:u w:val="single"/>
        </w:rPr>
      </w:pPr>
      <w:bookmarkStart w:colFirst="0" w:colLast="0" w:name="_96gut7hjte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="240" w:lineRule="auto"/>
        <w:rPr>
          <w:rFonts w:ascii="Open Sans" w:cs="Open Sans" w:eastAsia="Open Sans" w:hAnsi="Open Sans"/>
          <w:b w:val="1"/>
          <w:color w:val="3d85c6"/>
          <w:sz w:val="22"/>
          <w:szCs w:val="22"/>
          <w:u w:val="single"/>
        </w:rPr>
      </w:pPr>
      <w:bookmarkStart w:colFirst="0" w:colLast="0" w:name="_piocg5uxb4f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="240" w:lineRule="auto"/>
        <w:rPr>
          <w:rFonts w:ascii="Open Sans" w:cs="Open Sans" w:eastAsia="Open Sans" w:hAnsi="Open Sans"/>
          <w:b w:val="1"/>
          <w:color w:val="3d85c6"/>
          <w:sz w:val="22"/>
          <w:szCs w:val="22"/>
          <w:u w:val="single"/>
        </w:rPr>
      </w:pPr>
      <w:bookmarkStart w:colFirst="0" w:colLast="0" w:name="_fp2x0ejm5kc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="240" w:lineRule="auto"/>
        <w:rPr>
          <w:rFonts w:ascii="Open Sans" w:cs="Open Sans" w:eastAsia="Open Sans" w:hAnsi="Open Sans"/>
          <w:b w:val="1"/>
          <w:color w:val="3d85c6"/>
          <w:sz w:val="22"/>
          <w:szCs w:val="22"/>
          <w:u w:val="single"/>
        </w:rPr>
      </w:pPr>
      <w:bookmarkStart w:colFirst="0" w:colLast="0" w:name="_f4340mauyrlq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="240" w:lineRule="auto"/>
        <w:rPr>
          <w:rFonts w:ascii="Open Sans" w:cs="Open Sans" w:eastAsia="Open Sans" w:hAnsi="Open Sans"/>
          <w:b w:val="1"/>
          <w:i w:val="1"/>
          <w:color w:val="38761d"/>
          <w:sz w:val="22"/>
          <w:szCs w:val="22"/>
        </w:rPr>
      </w:pPr>
      <w:bookmarkStart w:colFirst="0" w:colLast="0" w:name="_a2iyd6kc5zw" w:id="4"/>
      <w:bookmarkEnd w:id="4"/>
      <w:r w:rsidDel="00000000" w:rsidR="00000000" w:rsidRPr="00000000">
        <w:rPr>
          <w:rFonts w:ascii="Open Sans" w:cs="Open Sans" w:eastAsia="Open Sans" w:hAnsi="Open Sans"/>
          <w:b w:val="1"/>
          <w:color w:val="3d85c6"/>
          <w:sz w:val="22"/>
          <w:szCs w:val="22"/>
          <w:u w:val="single"/>
          <w:rtl w:val="0"/>
        </w:rPr>
        <w:t xml:space="preserve">Unit Test Code</w:t>
      </w: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22"/>
          <w:szCs w:val="22"/>
          <w:u w:val="single"/>
          <w:rtl w:val="0"/>
        </w:rPr>
        <w:t xml:space="preserve">:</w:t>
      </w:r>
      <w:r w:rsidDel="00000000" w:rsidR="00000000" w:rsidRPr="00000000">
        <w:rPr>
          <w:rFonts w:ascii="Open Sans" w:cs="Open Sans" w:eastAsia="Open Sans" w:hAnsi="Open Sans"/>
          <w:b w:val="1"/>
          <w:color w:val="0b539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38761d"/>
          <w:sz w:val="22"/>
          <w:szCs w:val="22"/>
          <w:rtl w:val="0"/>
        </w:rPr>
        <w:t xml:space="preserve">CustomerCommTests.cs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119688" cy="319254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192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79">
      <w:pPr>
        <w:rPr>
          <w:b w:val="1"/>
          <w:i w:val="1"/>
          <w:color w:val="38761d"/>
          <w:sz w:val="24"/>
          <w:szCs w:val="24"/>
        </w:rPr>
      </w:pPr>
      <w:r w:rsidDel="00000000" w:rsidR="00000000" w:rsidRPr="00000000">
        <w:rPr>
          <w:b w:val="1"/>
          <w:i w:val="1"/>
          <w:color w:val="38761d"/>
          <w:sz w:val="24"/>
          <w:szCs w:val="24"/>
        </w:rPr>
        <w:drawing>
          <wp:inline distB="114300" distT="114300" distL="114300" distR="114300">
            <wp:extent cx="5214938" cy="264925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49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rFonts w:ascii="Open Sans" w:cs="Open Sans" w:eastAsia="Open Sans" w:hAnsi="Open Sans"/>
          <w:b w:val="1"/>
          <w:i w:val="1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0" w:firstLine="0"/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  <w:rtl w:val="0"/>
        </w:rPr>
        <w:t xml:space="preserve">        </w:t>
      </w:r>
    </w:p>
    <w:tbl>
      <w:tblPr>
        <w:tblStyle w:val="Table1"/>
        <w:tblW w:w="96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Ankita Pande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jc w:val="right"/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434343"/>
                <w:sz w:val="24"/>
                <w:szCs w:val="24"/>
                <w:rtl w:val="0"/>
              </w:rPr>
              <w:t xml:space="preserve">Superset ID: 6362381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434343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Open Sans" w:cs="Open Sans" w:eastAsia="Open Sans" w:hAnsi="Open Sans"/>
                <w:b w:val="1"/>
                <w:color w:val="434343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40" w:lineRule="auto"/>
        <w:ind w:left="0" w:firstLine="0"/>
        <w:rPr>
          <w:rFonts w:ascii="Open Sans" w:cs="Open Sans" w:eastAsia="Open Sans" w:hAnsi="Open Sans"/>
          <w:b w:val="1"/>
          <w:color w:val="434343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hyperlink" Target="http://mailsender.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