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996"/>
        <w:gridCol w:w="3064"/>
      </w:tblGrid>
      <w:tr w:rsidR="00A72267" w14:paraId="75F76677" w14:textId="77777777" w:rsidTr="006D2D4F">
        <w:trPr>
          <w:trHeight w:val="7645"/>
        </w:trPr>
        <w:tc>
          <w:tcPr>
            <w:tcW w:w="4687" w:type="dxa"/>
          </w:tcPr>
          <w:p w14:paraId="7E49077D" w14:textId="0FD40147" w:rsidR="00A72267" w:rsidRDefault="00A72267">
            <w:r>
              <w:rPr>
                <w:noProof/>
              </w:rPr>
              <w:drawing>
                <wp:inline distT="0" distB="0" distL="0" distR="0" wp14:anchorId="5341C760" wp14:editId="1BD33A41">
                  <wp:extent cx="3267075" cy="48977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485" cy="491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14:paraId="1123953C" w14:textId="77777777" w:rsidR="006D2D4F" w:rsidRPr="006D2D4F" w:rsidRDefault="006D2D4F" w:rsidP="00A72267">
            <w:pPr>
              <w:pStyle w:val="NormalWeb"/>
              <w:shd w:val="clear" w:color="auto" w:fill="FFFFFF"/>
              <w:spacing w:before="75" w:beforeAutospacing="0" w:after="450" w:afterAutospacing="0"/>
              <w:rPr>
                <w:b/>
                <w:bCs/>
              </w:rPr>
            </w:pPr>
            <w:r w:rsidRPr="006D2D4F">
              <w:rPr>
                <w:rFonts w:ascii="Source Sans Pro" w:hAnsi="Source Sans Pro"/>
                <w:b/>
                <w:bCs/>
                <w:color w:val="333333"/>
                <w:sz w:val="23"/>
                <w:szCs w:val="23"/>
              </w:rPr>
              <w:t>T</w:t>
            </w:r>
            <w:r w:rsidRPr="006D2D4F">
              <w:rPr>
                <w:b/>
                <w:bCs/>
              </w:rPr>
              <w:t>ime to read</w:t>
            </w:r>
          </w:p>
          <w:p w14:paraId="52B146D6" w14:textId="2B63E8CE" w:rsidR="00A72267" w:rsidRPr="00EB014B" w:rsidRDefault="00A72267" w:rsidP="00EB014B">
            <w:pPr>
              <w:pStyle w:val="NormalWeb"/>
              <w:shd w:val="clear" w:color="auto" w:fill="FFFFFF"/>
              <w:spacing w:before="75" w:beforeAutospacing="0" w:after="450" w:afterAutospacing="0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Story time is one of my </w:t>
            </w:r>
            <w:proofErr w:type="spellStart"/>
            <w:r>
              <w:rPr>
                <w:rFonts w:ascii="Source Sans Pro" w:hAnsi="Source Sans Pro"/>
                <w:color w:val="333333"/>
                <w:sz w:val="23"/>
                <w:szCs w:val="23"/>
              </w:rPr>
              <w:t>favorite</w:t>
            </w:r>
            <w:proofErr w:type="spellEnd"/>
            <w:r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parts of the day.  </w:t>
            </w:r>
            <w:proofErr w:type="gramStart"/>
            <w:r>
              <w:rPr>
                <w:rFonts w:ascii="Source Sans Pro" w:hAnsi="Source Sans Pro"/>
                <w:color w:val="333333"/>
                <w:sz w:val="23"/>
                <w:szCs w:val="23"/>
              </w:rPr>
              <w:t>It’s</w:t>
            </w:r>
            <w:proofErr w:type="gramEnd"/>
            <w:r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quiet time that I get to spend focused on my children one-on-one and is quite the bonding experience for us.  I love how excited they get when they discover new </w:t>
            </w:r>
            <w:proofErr w:type="spellStart"/>
            <w:r>
              <w:rPr>
                <w:rFonts w:ascii="Source Sans Pro" w:hAnsi="Source Sans Pro"/>
                <w:color w:val="333333"/>
                <w:sz w:val="23"/>
                <w:szCs w:val="23"/>
              </w:rPr>
              <w:t>favorites</w:t>
            </w:r>
            <w:proofErr w:type="spellEnd"/>
            <w:r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and I love that I can share a passion of mine with them.  However, sometimes they aren’t as interested in reading as they normally are and </w:t>
            </w:r>
            <w:proofErr w:type="gramStart"/>
            <w:r>
              <w:rPr>
                <w:rFonts w:ascii="Source Sans Pro" w:hAnsi="Source Sans Pro"/>
                <w:color w:val="333333"/>
                <w:sz w:val="23"/>
                <w:szCs w:val="23"/>
              </w:rPr>
              <w:t>sometimes</w:t>
            </w:r>
            <w:proofErr w:type="gramEnd"/>
            <w:r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I notice that my little guy has no interest in picking up a book on his own to “read”.    </w:t>
            </w:r>
            <w:proofErr w:type="gramStart"/>
            <w:r>
              <w:rPr>
                <w:rFonts w:ascii="Source Sans Pro" w:hAnsi="Source Sans Pro"/>
                <w:color w:val="333333"/>
                <w:sz w:val="23"/>
                <w:szCs w:val="23"/>
              </w:rPr>
              <w:t>It’s</w:t>
            </w:r>
            <w:proofErr w:type="gramEnd"/>
            <w:r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normal for children to not always want to do their daily reading and some children just aren’t as interested and that is fine.</w:t>
            </w:r>
            <w:r w:rsidR="00FB0F7C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And now we can use The </w:t>
            </w:r>
            <w:proofErr w:type="spellStart"/>
            <w:r w:rsidR="00FB0F7C">
              <w:rPr>
                <w:rFonts w:ascii="Source Sans Pro" w:hAnsi="Source Sans Pro"/>
                <w:color w:val="333333"/>
                <w:sz w:val="23"/>
                <w:szCs w:val="23"/>
              </w:rPr>
              <w:t>BookBot</w:t>
            </w:r>
            <w:proofErr w:type="spellEnd"/>
            <w:r w:rsidR="00FB0F7C">
              <w:rPr>
                <w:rFonts w:ascii="Source Sans Pro" w:hAnsi="Source Sans Pro"/>
                <w:color w:val="333333"/>
                <w:sz w:val="23"/>
                <w:szCs w:val="23"/>
              </w:rPr>
              <w:t>.</w:t>
            </w:r>
          </w:p>
        </w:tc>
      </w:tr>
      <w:tr w:rsidR="00EB014B" w14:paraId="425E9C34" w14:textId="77777777" w:rsidTr="00EB014B">
        <w:trPr>
          <w:trHeight w:val="6849"/>
        </w:trPr>
        <w:tc>
          <w:tcPr>
            <w:tcW w:w="4687" w:type="dxa"/>
          </w:tcPr>
          <w:p w14:paraId="5C637CDF" w14:textId="77777777" w:rsidR="00EB014B" w:rsidRDefault="00EB014B">
            <w:pPr>
              <w:rPr>
                <w:noProof/>
              </w:rPr>
            </w:pPr>
          </w:p>
          <w:p w14:paraId="774E41B0" w14:textId="39AC3DCB" w:rsidR="00EB014B" w:rsidRDefault="00EB01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136C3" wp14:editId="3B9FADA5">
                  <wp:extent cx="4298773" cy="28670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9703" cy="286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14:paraId="53CED62C" w14:textId="621C61E0" w:rsidR="00EB014B" w:rsidRDefault="00EB014B" w:rsidP="00A72267">
            <w:pPr>
              <w:pStyle w:val="NormalWeb"/>
              <w:shd w:val="clear" w:color="auto" w:fill="FFFFFF"/>
              <w:spacing w:before="75" w:beforeAutospacing="0" w:after="450" w:afterAutospacing="0"/>
              <w:rPr>
                <w:rFonts w:ascii="Source Sans Pro" w:hAnsi="Source Sans Pro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3"/>
                <w:szCs w:val="23"/>
                <w:shd w:val="clear" w:color="auto" w:fill="FFFFFF"/>
              </w:rPr>
              <w:t>A</w:t>
            </w:r>
            <w:r>
              <w:rPr>
                <w:rStyle w:val="Strong"/>
                <w:rFonts w:ascii="Source Sans Pro" w:hAnsi="Source Sans Pro"/>
                <w:color w:val="333333"/>
                <w:sz w:val="23"/>
                <w:szCs w:val="23"/>
                <w:shd w:val="clear" w:color="auto" w:fill="FFFFFF"/>
              </w:rPr>
              <w:t xml:space="preserve"> Great Bedtime Story</w:t>
            </w:r>
          </w:p>
          <w:p w14:paraId="103AFF3E" w14:textId="2241DD2D" w:rsidR="00EB014B" w:rsidRDefault="00EB014B" w:rsidP="00A72267">
            <w:pPr>
              <w:pStyle w:val="NormalWeb"/>
              <w:shd w:val="clear" w:color="auto" w:fill="FFFFFF"/>
              <w:spacing w:before="75" w:beforeAutospacing="0" w:after="450" w:afterAutospacing="0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>
              <w:rPr>
                <w:rFonts w:ascii="Source Sans Pro" w:hAnsi="Source Sans Pro"/>
                <w:color w:val="333333"/>
                <w:sz w:val="23"/>
                <w:szCs w:val="23"/>
                <w:shd w:val="clear" w:color="auto" w:fill="FFFFFF"/>
              </w:rPr>
              <w:t>Just like music, some books are more suited to calming and some are more suited to entertainment.  A great bedtime story is one that will lull your child and help them wind-down and prepare for bedtime.  They slow racing thoughts and help little minds and bodies adjust to the transition of a tranquil night.</w:t>
            </w:r>
          </w:p>
        </w:tc>
      </w:tr>
    </w:tbl>
    <w:p w14:paraId="51DA5CA1" w14:textId="689B6A06" w:rsidR="00593F3E" w:rsidRDefault="00593F3E"/>
    <w:sectPr w:rsidR="00593F3E" w:rsidSect="00EB0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67"/>
    <w:rsid w:val="00593F3E"/>
    <w:rsid w:val="006D2D4F"/>
    <w:rsid w:val="0076524E"/>
    <w:rsid w:val="00A72267"/>
    <w:rsid w:val="00EB014B"/>
    <w:rsid w:val="00FB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32D4"/>
  <w15:chartTrackingRefBased/>
  <w15:docId w15:val="{CF49460A-C8D2-4870-8301-B3E4A9EE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2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B0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96AF1-6917-42E8-8C3E-36F218B9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Shcheglova</dc:creator>
  <cp:keywords/>
  <dc:description/>
  <cp:lastModifiedBy>Anastasia Shcheglova</cp:lastModifiedBy>
  <cp:revision>2</cp:revision>
  <dcterms:created xsi:type="dcterms:W3CDTF">2020-10-07T10:35:00Z</dcterms:created>
  <dcterms:modified xsi:type="dcterms:W3CDTF">2020-10-07T11:40:00Z</dcterms:modified>
</cp:coreProperties>
</file>