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A6E1" w14:textId="77777777" w:rsidR="00FA3405" w:rsidRDefault="00000000">
      <w:pPr>
        <w:spacing w:after="40"/>
        <w:jc w:val="center"/>
      </w:pPr>
      <w:r>
        <w:rPr>
          <w:b/>
          <w:color w:val="2B527E"/>
          <w:sz w:val="36"/>
        </w:rPr>
        <w:t>LAB 3 · ARCHITECTURAL PATTERN SELECTION</w:t>
      </w:r>
    </w:p>
    <w:p w14:paraId="1B9EE606" w14:textId="77777777" w:rsidR="00FA3405" w:rsidRDefault="00000000">
      <w:pPr>
        <w:spacing w:after="20"/>
        <w:jc w:val="center"/>
      </w:pPr>
      <w:r>
        <w:rPr>
          <w:b/>
          <w:sz w:val="25"/>
        </w:rPr>
        <w:t>Patient Health Record Consent Management System</w:t>
      </w:r>
    </w:p>
    <w:p w14:paraId="39EB3764" w14:textId="7CE96419" w:rsidR="00FA3405" w:rsidRDefault="00000000">
      <w:pPr>
        <w:spacing w:after="80"/>
        <w:jc w:val="center"/>
      </w:pPr>
      <w:r>
        <w:rPr>
          <w:color w:val="666666"/>
        </w:rPr>
        <w:t>Student: Ankita S  |  SRN: PES1UG24CS066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A3405" w14:paraId="3FD894D2" w14:textId="77777777">
        <w:trPr>
          <w:jc w:val="center"/>
        </w:trPr>
        <w:tc>
          <w:tcPr>
            <w:tcW w:w="10368" w:type="dxa"/>
            <w:shd w:val="clear" w:color="auto" w:fill="E5F1FA"/>
          </w:tcPr>
          <w:p w14:paraId="0FB8CE8C" w14:textId="77777777" w:rsidR="00FA3405" w:rsidRDefault="00000000">
            <w:pPr>
              <w:spacing w:after="0"/>
            </w:pPr>
            <w:r>
              <w:rPr>
                <w:b/>
                <w:color w:val="2B527E"/>
              </w:rPr>
              <w:t xml:space="preserve">Architecture Selection: </w:t>
            </w:r>
            <w:r>
              <w:t>We chose Layered Architecture for the Patient Health Record Consent Management System.</w:t>
            </w:r>
          </w:p>
        </w:tc>
      </w:tr>
    </w:tbl>
    <w:p w14:paraId="72D20C76" w14:textId="77777777" w:rsidR="00FA3405" w:rsidRDefault="00000000">
      <w:pPr>
        <w:spacing w:before="60" w:after="20"/>
      </w:pPr>
      <w:r>
        <w:rPr>
          <w:b/>
          <w:color w:val="2B527E"/>
          <w:sz w:val="22"/>
        </w:rPr>
        <w:t>Architectural style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A3405" w14:paraId="5393B0B8" w14:textId="77777777">
        <w:trPr>
          <w:jc w:val="center"/>
        </w:trPr>
        <w:tc>
          <w:tcPr>
            <w:tcW w:w="2592" w:type="dxa"/>
            <w:shd w:val="clear" w:color="auto" w:fill="2B527E"/>
            <w:vAlign w:val="center"/>
          </w:tcPr>
          <w:p w14:paraId="7F34F257" w14:textId="77777777" w:rsidR="00FA3405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Style</w:t>
            </w:r>
          </w:p>
        </w:tc>
        <w:tc>
          <w:tcPr>
            <w:tcW w:w="2592" w:type="dxa"/>
            <w:shd w:val="clear" w:color="auto" w:fill="2B527E"/>
            <w:vAlign w:val="center"/>
          </w:tcPr>
          <w:p w14:paraId="2D41EDF7" w14:textId="77777777" w:rsidR="00FA3405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Strength in this scenario</w:t>
            </w:r>
          </w:p>
        </w:tc>
        <w:tc>
          <w:tcPr>
            <w:tcW w:w="2592" w:type="dxa"/>
            <w:shd w:val="clear" w:color="auto" w:fill="2B527E"/>
            <w:vAlign w:val="center"/>
          </w:tcPr>
          <w:p w14:paraId="5552E808" w14:textId="77777777" w:rsidR="00FA3405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Trade-off</w:t>
            </w:r>
          </w:p>
        </w:tc>
        <w:tc>
          <w:tcPr>
            <w:tcW w:w="2592" w:type="dxa"/>
            <w:shd w:val="clear" w:color="auto" w:fill="2B527E"/>
            <w:vAlign w:val="center"/>
          </w:tcPr>
          <w:p w14:paraId="689C69CC" w14:textId="77777777" w:rsidR="00FA3405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Fit</w:t>
            </w:r>
          </w:p>
        </w:tc>
      </w:tr>
      <w:tr w:rsidR="00FA3405" w14:paraId="3CF46A4D" w14:textId="77777777">
        <w:trPr>
          <w:jc w:val="center"/>
        </w:trPr>
        <w:tc>
          <w:tcPr>
            <w:tcW w:w="2592" w:type="dxa"/>
            <w:vAlign w:val="center"/>
          </w:tcPr>
          <w:p w14:paraId="63EF551D" w14:textId="77777777" w:rsidR="00FA3405" w:rsidRDefault="00000000">
            <w:pPr>
              <w:spacing w:line="228" w:lineRule="auto"/>
            </w:pPr>
            <w:r>
              <w:rPr>
                <w:b/>
                <w:color w:val="111111"/>
                <w:sz w:val="16"/>
              </w:rPr>
              <w:t>Layered</w:t>
            </w:r>
          </w:p>
        </w:tc>
        <w:tc>
          <w:tcPr>
            <w:tcW w:w="2592" w:type="dxa"/>
            <w:vAlign w:val="center"/>
          </w:tcPr>
          <w:p w14:paraId="6FA1244E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Clear separation of patient/clinic UI, consent rules and data access.</w:t>
            </w:r>
          </w:p>
        </w:tc>
        <w:tc>
          <w:tcPr>
            <w:tcW w:w="2592" w:type="dxa"/>
            <w:vAlign w:val="center"/>
          </w:tcPr>
          <w:p w14:paraId="13FABE52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Minor layer-call overhead.</w:t>
            </w:r>
          </w:p>
        </w:tc>
        <w:tc>
          <w:tcPr>
            <w:tcW w:w="2592" w:type="dxa"/>
            <w:shd w:val="clear" w:color="auto" w:fill="E7F0EA"/>
            <w:vAlign w:val="center"/>
          </w:tcPr>
          <w:p w14:paraId="15641E8B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Best</w:t>
            </w:r>
          </w:p>
        </w:tc>
      </w:tr>
      <w:tr w:rsidR="00FA3405" w14:paraId="6916B1FA" w14:textId="77777777">
        <w:trPr>
          <w:jc w:val="center"/>
        </w:trPr>
        <w:tc>
          <w:tcPr>
            <w:tcW w:w="2592" w:type="dxa"/>
            <w:vAlign w:val="center"/>
          </w:tcPr>
          <w:p w14:paraId="079EE178" w14:textId="77777777" w:rsidR="00FA3405" w:rsidRDefault="00000000">
            <w:pPr>
              <w:spacing w:line="228" w:lineRule="auto"/>
            </w:pPr>
            <w:r>
              <w:rPr>
                <w:b/>
                <w:color w:val="111111"/>
                <w:sz w:val="16"/>
              </w:rPr>
              <w:t>Microservices</w:t>
            </w:r>
          </w:p>
        </w:tc>
        <w:tc>
          <w:tcPr>
            <w:tcW w:w="2592" w:type="dxa"/>
            <w:vAlign w:val="center"/>
          </w:tcPr>
          <w:p w14:paraId="753C75BB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Independent deployment and fault isolation.</w:t>
            </w:r>
          </w:p>
        </w:tc>
        <w:tc>
          <w:tcPr>
            <w:tcW w:w="2592" w:type="dxa"/>
            <w:vAlign w:val="center"/>
          </w:tcPr>
          <w:p w14:paraId="2B7D8F88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Network, deployment and data-consistency complexity can be excessive here.</w:t>
            </w:r>
          </w:p>
        </w:tc>
        <w:tc>
          <w:tcPr>
            <w:tcW w:w="2592" w:type="dxa"/>
            <w:vAlign w:val="center"/>
          </w:tcPr>
          <w:p w14:paraId="0AF80CFB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Low</w:t>
            </w:r>
          </w:p>
        </w:tc>
      </w:tr>
      <w:tr w:rsidR="00FA3405" w14:paraId="266077D2" w14:textId="77777777">
        <w:trPr>
          <w:jc w:val="center"/>
        </w:trPr>
        <w:tc>
          <w:tcPr>
            <w:tcW w:w="2592" w:type="dxa"/>
            <w:vAlign w:val="center"/>
          </w:tcPr>
          <w:p w14:paraId="26B6B7E3" w14:textId="77777777" w:rsidR="00FA3405" w:rsidRDefault="00000000">
            <w:pPr>
              <w:spacing w:line="228" w:lineRule="auto"/>
            </w:pPr>
            <w:r>
              <w:rPr>
                <w:b/>
                <w:color w:val="111111"/>
                <w:sz w:val="16"/>
              </w:rPr>
              <w:t>Client–Server</w:t>
            </w:r>
          </w:p>
        </w:tc>
        <w:tc>
          <w:tcPr>
            <w:tcW w:w="2592" w:type="dxa"/>
            <w:vAlign w:val="center"/>
          </w:tcPr>
          <w:p w14:paraId="4AB940CD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Central data control and simple clients.</w:t>
            </w:r>
          </w:p>
        </w:tc>
        <w:tc>
          <w:tcPr>
            <w:tcW w:w="2592" w:type="dxa"/>
            <w:vAlign w:val="center"/>
          </w:tcPr>
          <w:p w14:paraId="3FF7E14C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Server/network dependency and availability risks.</w:t>
            </w:r>
          </w:p>
        </w:tc>
        <w:tc>
          <w:tcPr>
            <w:tcW w:w="2592" w:type="dxa"/>
            <w:vAlign w:val="center"/>
          </w:tcPr>
          <w:p w14:paraId="238AFEDF" w14:textId="77777777" w:rsidR="00FA3405" w:rsidRDefault="00000000">
            <w:pPr>
              <w:spacing w:line="228" w:lineRule="auto"/>
            </w:pPr>
            <w:r>
              <w:rPr>
                <w:color w:val="111111"/>
                <w:sz w:val="16"/>
              </w:rPr>
              <w:t>Medium</w:t>
            </w:r>
          </w:p>
        </w:tc>
      </w:tr>
    </w:tbl>
    <w:p w14:paraId="5DE17FB7" w14:textId="77777777" w:rsidR="00FA3405" w:rsidRDefault="00000000">
      <w:pPr>
        <w:spacing w:before="60" w:after="20"/>
      </w:pPr>
      <w:r>
        <w:rPr>
          <w:b/>
          <w:color w:val="2B527E"/>
          <w:sz w:val="22"/>
        </w:rPr>
        <w:t>Two scenario-specific reasons</w:t>
      </w:r>
    </w:p>
    <w:p w14:paraId="2EED73D0" w14:textId="77777777" w:rsidR="00FA3405" w:rsidRDefault="00000000">
      <w:pPr>
        <w:spacing w:after="30" w:line="235" w:lineRule="auto"/>
        <w:ind w:left="230" w:hanging="173"/>
      </w:pPr>
      <w:r>
        <w:rPr>
          <w:b/>
        </w:rPr>
        <w:t xml:space="preserve">•  1. Cohesive consent rules. </w:t>
      </w:r>
      <w:r>
        <w:t>Granting or revoking time-bound consent must validate the patient, permitted record scope and expiry before access is allowed. Keeping these rules in a business layer prevents the patient and clinic interfaces from duplicating security-critical logic.</w:t>
      </w:r>
    </w:p>
    <w:p w14:paraId="6680AE5A" w14:textId="77777777" w:rsidR="00FA3405" w:rsidRDefault="00000000">
      <w:pPr>
        <w:spacing w:after="40" w:line="235" w:lineRule="auto"/>
        <w:ind w:left="230" w:hanging="173"/>
      </w:pPr>
      <w:r>
        <w:rPr>
          <w:b/>
        </w:rPr>
        <w:t xml:space="preserve">•  2. Maintainability and replaceability. </w:t>
      </w:r>
      <w:r>
        <w:t>The patient portal, clinic interface and data storage can change behind stable layer boundaries. A UI or storage implementation can therefore be replaced without rewriting the core consent-validation rules.</w:t>
      </w:r>
    </w:p>
    <w:p w14:paraId="71ADB0F2" w14:textId="77777777" w:rsidR="00FA3405" w:rsidRDefault="00000000">
      <w:pPr>
        <w:spacing w:before="60" w:after="20"/>
      </w:pPr>
      <w:r>
        <w:rPr>
          <w:b/>
          <w:color w:val="2B527E"/>
          <w:sz w:val="22"/>
        </w:rPr>
        <w:t>Security advantage and performance benefit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A3405" w14:paraId="70CD4445" w14:textId="77777777">
        <w:trPr>
          <w:jc w:val="center"/>
        </w:trPr>
        <w:tc>
          <w:tcPr>
            <w:tcW w:w="5184" w:type="dxa"/>
            <w:vAlign w:val="center"/>
          </w:tcPr>
          <w:p w14:paraId="2F6A3697" w14:textId="77777777" w:rsidR="00FA3405" w:rsidRDefault="00000000">
            <w:pPr>
              <w:spacing w:line="228" w:lineRule="auto"/>
            </w:pPr>
            <w:r>
              <w:rPr>
                <w:b/>
                <w:color w:val="2B527E"/>
              </w:rPr>
              <w:t>Security advantage</w:t>
            </w:r>
          </w:p>
          <w:p w14:paraId="18BD104E" w14:textId="77777777" w:rsidR="00FA3405" w:rsidRDefault="00FA3405"/>
          <w:p w14:paraId="282744D2" w14:textId="77777777" w:rsidR="00FA3405" w:rsidRDefault="00000000">
            <w:pPr>
              <w:spacing w:line="235" w:lineRule="auto"/>
            </w:pPr>
            <w:r>
              <w:rPr>
                <w:sz w:val="17"/>
              </w:rPr>
              <w:t>All health-record access passes through the business logic layer, which can enforce authentication, role-based authorization and non-expired consent before data access. The presentation components receive no direct database credentials. Parameterised repository queries and an append-only audit trail further protect integrity and accountability.</w:t>
            </w:r>
          </w:p>
        </w:tc>
        <w:tc>
          <w:tcPr>
            <w:tcW w:w="5184" w:type="dxa"/>
            <w:vAlign w:val="center"/>
          </w:tcPr>
          <w:p w14:paraId="058806E2" w14:textId="77777777" w:rsidR="00FA3405" w:rsidRDefault="00000000">
            <w:pPr>
              <w:spacing w:line="228" w:lineRule="auto"/>
            </w:pPr>
            <w:r>
              <w:rPr>
                <w:b/>
                <w:color w:val="2B527E"/>
              </w:rPr>
              <w:t>Performance benefit</w:t>
            </w:r>
          </w:p>
          <w:p w14:paraId="4E7CB05E" w14:textId="77777777" w:rsidR="00FA3405" w:rsidRDefault="00FA3405"/>
          <w:p w14:paraId="2086DCB1" w14:textId="77777777" w:rsidR="00FA3405" w:rsidRDefault="00000000">
            <w:pPr>
              <w:spacing w:line="235" w:lineRule="auto"/>
            </w:pPr>
            <w:r>
              <w:rPr>
                <w:sz w:val="17"/>
              </w:rPr>
              <w:t>The business layer can validate consent and route an authorized record request through a predictable local workflow, avoiding unnecessary remote service calls. Indexed patient/record identifiers, prepared queries, connection pooling and appropriate caching can reduce lookup and access overhead for repeated requests.</w:t>
            </w:r>
          </w:p>
        </w:tc>
      </w:tr>
    </w:tbl>
    <w:p w14:paraId="0DC10055" w14:textId="77777777" w:rsidR="00FA3405" w:rsidRDefault="00000000">
      <w:pPr>
        <w:spacing w:before="60" w:after="20"/>
      </w:pPr>
      <w:r>
        <w:rPr>
          <w:b/>
          <w:color w:val="2B527E"/>
          <w:sz w:val="22"/>
        </w:rPr>
        <w:t>Selected components and interfaces</w:t>
      </w:r>
    </w:p>
    <w:p w14:paraId="40367AB2" w14:textId="77777777" w:rsidR="00FA3405" w:rsidRDefault="00000000">
      <w:pPr>
        <w:spacing w:after="0" w:line="235" w:lineRule="auto"/>
      </w:pPr>
      <w:r>
        <w:rPr>
          <w:b/>
        </w:rPr>
        <w:t xml:space="preserve">Components: </w:t>
      </w:r>
      <w:r>
        <w:t xml:space="preserve">Patient Portal Component; Clinic Access Component; Consent Management Component; Health Record Access Component; Audit Trail Component. </w:t>
      </w:r>
      <w:r>
        <w:rPr>
          <w:b/>
        </w:rPr>
        <w:t xml:space="preserve">Interfaces: </w:t>
      </w:r>
      <w:r>
        <w:t>Consent Management Interface, Record Access Interface, Consent Verification Interface and Consent Audit Interface. The component diagram uses ball-and-socket assembly connectors and labels the interaction between components.</w:t>
      </w:r>
    </w:p>
    <w:p w14:paraId="6A8846A7" w14:textId="77777777" w:rsidR="00416398" w:rsidRPr="00416398" w:rsidRDefault="00416398" w:rsidP="00416398"/>
    <w:p w14:paraId="145C258B" w14:textId="77777777" w:rsidR="00416398" w:rsidRPr="00416398" w:rsidRDefault="00416398" w:rsidP="00416398"/>
    <w:p w14:paraId="128C722C" w14:textId="77777777" w:rsidR="00416398" w:rsidRPr="00416398" w:rsidRDefault="00416398" w:rsidP="00416398"/>
    <w:p w14:paraId="1B846F1F" w14:textId="77777777" w:rsidR="00416398" w:rsidRPr="00416398" w:rsidRDefault="00416398" w:rsidP="00416398"/>
    <w:p w14:paraId="36FE119D" w14:textId="77777777" w:rsidR="00416398" w:rsidRPr="00416398" w:rsidRDefault="00416398" w:rsidP="00416398"/>
    <w:p w14:paraId="4E3D2A12" w14:textId="77777777" w:rsidR="00416398" w:rsidRPr="00416398" w:rsidRDefault="00416398" w:rsidP="00416398"/>
    <w:p w14:paraId="2AE48D29" w14:textId="77777777" w:rsidR="00416398" w:rsidRPr="00416398" w:rsidRDefault="00416398" w:rsidP="00416398"/>
    <w:p w14:paraId="5E942160" w14:textId="77777777" w:rsidR="00416398" w:rsidRPr="00416398" w:rsidRDefault="00416398" w:rsidP="00416398"/>
    <w:p w14:paraId="3C74D518" w14:textId="77777777" w:rsidR="00416398" w:rsidRPr="00416398" w:rsidRDefault="00416398" w:rsidP="00416398"/>
    <w:p w14:paraId="02B98102" w14:textId="77777777" w:rsidR="00416398" w:rsidRPr="00416398" w:rsidRDefault="00416398" w:rsidP="00416398"/>
    <w:p w14:paraId="33212C08" w14:textId="77777777" w:rsidR="00416398" w:rsidRPr="00416398" w:rsidRDefault="00416398" w:rsidP="00416398"/>
    <w:p w14:paraId="7B56FBC5" w14:textId="77777777" w:rsidR="00416398" w:rsidRPr="00416398" w:rsidRDefault="00416398" w:rsidP="00416398"/>
    <w:p w14:paraId="1E5C0B13" w14:textId="77777777" w:rsidR="00416398" w:rsidRPr="00416398" w:rsidRDefault="00416398" w:rsidP="00416398"/>
    <w:p w14:paraId="4125D4CB" w14:textId="63614FA7" w:rsidR="00416398" w:rsidRPr="00416398" w:rsidRDefault="00416398" w:rsidP="00416398">
      <w:pPr>
        <w:tabs>
          <w:tab w:val="left" w:pos="4572"/>
        </w:tabs>
      </w:pPr>
      <w:r>
        <w:tab/>
      </w:r>
    </w:p>
    <w:sectPr w:rsidR="00416398" w:rsidRPr="0041639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34FB" w14:textId="77777777" w:rsidR="00A123C2" w:rsidRDefault="00A123C2">
      <w:pPr>
        <w:spacing w:after="0" w:line="240" w:lineRule="auto"/>
      </w:pPr>
      <w:r>
        <w:separator/>
      </w:r>
    </w:p>
  </w:endnote>
  <w:endnote w:type="continuationSeparator" w:id="0">
    <w:p w14:paraId="371615EA" w14:textId="77777777" w:rsidR="00A123C2" w:rsidRDefault="00A12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FB69" w14:textId="77777777" w:rsidR="00416398" w:rsidRDefault="004163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3C52" w14:textId="74EAD113" w:rsidR="00FA3405" w:rsidRDefault="00000000">
    <w:pPr>
      <w:pStyle w:val="Footer"/>
      <w:jc w:val="center"/>
    </w:pPr>
    <w:r>
      <w:rPr>
        <w:color w:val="666666"/>
        <w:sz w:val="16"/>
      </w:rPr>
      <w:t>Ankita S · PES1UG24CS066 · Lab 3 · Page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4B24" w14:textId="77777777" w:rsidR="00416398" w:rsidRDefault="00416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DCC6" w14:textId="77777777" w:rsidR="00A123C2" w:rsidRDefault="00A123C2">
      <w:pPr>
        <w:spacing w:after="0" w:line="240" w:lineRule="auto"/>
      </w:pPr>
      <w:r>
        <w:separator/>
      </w:r>
    </w:p>
  </w:footnote>
  <w:footnote w:type="continuationSeparator" w:id="0">
    <w:p w14:paraId="71F19611" w14:textId="77777777" w:rsidR="00A123C2" w:rsidRDefault="00A12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C92CA" w14:textId="77777777" w:rsidR="00416398" w:rsidRDefault="004163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E10D" w14:textId="77777777" w:rsidR="00416398" w:rsidRDefault="004163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4DD2" w14:textId="77777777" w:rsidR="00416398" w:rsidRDefault="004163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854363">
    <w:abstractNumId w:val="8"/>
  </w:num>
  <w:num w:numId="2" w16cid:durableId="1890653264">
    <w:abstractNumId w:val="6"/>
  </w:num>
  <w:num w:numId="3" w16cid:durableId="1881285333">
    <w:abstractNumId w:val="5"/>
  </w:num>
  <w:num w:numId="4" w16cid:durableId="1404058584">
    <w:abstractNumId w:val="4"/>
  </w:num>
  <w:num w:numId="5" w16cid:durableId="1002509620">
    <w:abstractNumId w:val="7"/>
  </w:num>
  <w:num w:numId="6" w16cid:durableId="1196574432">
    <w:abstractNumId w:val="3"/>
  </w:num>
  <w:num w:numId="7" w16cid:durableId="1697000354">
    <w:abstractNumId w:val="2"/>
  </w:num>
  <w:num w:numId="8" w16cid:durableId="412436198">
    <w:abstractNumId w:val="1"/>
  </w:num>
  <w:num w:numId="9" w16cid:durableId="20024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398"/>
    <w:rsid w:val="00840F4A"/>
    <w:rsid w:val="00A123C2"/>
    <w:rsid w:val="00AA1D8D"/>
    <w:rsid w:val="00B47730"/>
    <w:rsid w:val="00CB0664"/>
    <w:rsid w:val="00FA3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B86D1"/>
  <w14:defaultImageDpi w14:val="300"/>
  <w15:docId w15:val="{CA029CFC-0131-4914-A28C-59D0E9AE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ANKITA Satish kumar</cp:lastModifiedBy>
  <cp:revision>2</cp:revision>
  <dcterms:created xsi:type="dcterms:W3CDTF">2013-12-23T23:15:00Z</dcterms:created>
  <dcterms:modified xsi:type="dcterms:W3CDTF">2026-09-15T20:16:00Z</dcterms:modified>
  <cp:category/>
</cp:coreProperties>
</file>