
<file path=[Content_Types].xml><?xml version="1.0" encoding="utf-8"?>
<Types xmlns="http://schemas.openxmlformats.org/package/2006/content-types">
  <Override PartName="/word/footnotes.xml" ContentType="application/vnd.openxmlformats-officedocument.wordprocessingml.footnotes+xml"/>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273A3F" w:rsidRPr="00645208" w:rsidRDefault="007B6EA9" w:rsidP="002B3ECA">
      <w:pPr>
        <w:pStyle w:val="Title"/>
        <w:spacing w:after="120" w:line="360" w:lineRule="auto"/>
        <w:jc w:val="both"/>
        <w:rPr>
          <w:rFonts w:asciiTheme="minorHAnsi" w:hAnsiTheme="minorHAnsi" w:cstheme="minorHAnsi"/>
        </w:rPr>
      </w:pPr>
      <w:r w:rsidRPr="00645208">
        <w:rPr>
          <w:rFonts w:asciiTheme="minorHAnsi" w:hAnsiTheme="minorHAnsi" w:cstheme="minorHAnsi"/>
          <w:b/>
          <w:bCs/>
          <w:color w:val="1F3864"/>
          <w:sz w:val="34"/>
          <w:szCs w:val="34"/>
        </w:rPr>
        <w:t>InsightForge — Business Requirements Document</w:t>
      </w:r>
    </w:p>
    <w:p w:rsidR="00273A3F" w:rsidRPr="00645208" w:rsidRDefault="007B6EA9" w:rsidP="002B3ECA">
      <w:pPr>
        <w:spacing w:after="25" w:line="360" w:lineRule="auto"/>
        <w:jc w:val="both"/>
        <w:rPr>
          <w:rFonts w:asciiTheme="minorHAnsi" w:hAnsiTheme="minorHAnsi" w:cstheme="minorHAnsi"/>
          <w:sz w:val="22"/>
          <w:szCs w:val="22"/>
        </w:rPr>
      </w:pPr>
      <w:r w:rsidRPr="00645208">
        <w:rPr>
          <w:rFonts w:asciiTheme="minorHAnsi" w:hAnsiTheme="minorHAnsi" w:cstheme="minorHAnsi"/>
          <w:b/>
          <w:bCs/>
          <w:sz w:val="22"/>
          <w:szCs w:val="22"/>
        </w:rPr>
        <w:t xml:space="preserve">Project: </w:t>
      </w:r>
      <w:r w:rsidRPr="00645208">
        <w:rPr>
          <w:rFonts w:asciiTheme="minorHAnsi" w:hAnsiTheme="minorHAnsi" w:cstheme="minorHAnsi"/>
          <w:sz w:val="22"/>
          <w:szCs w:val="22"/>
        </w:rPr>
        <w:t>InsightForge — Executive Analytics Platform</w:t>
      </w:r>
    </w:p>
    <w:p w:rsidR="00273A3F" w:rsidRPr="00645208" w:rsidRDefault="007B6EA9" w:rsidP="002B3ECA">
      <w:pPr>
        <w:spacing w:after="25" w:line="360" w:lineRule="auto"/>
        <w:jc w:val="both"/>
        <w:rPr>
          <w:rFonts w:asciiTheme="minorHAnsi" w:hAnsiTheme="minorHAnsi" w:cstheme="minorHAnsi"/>
          <w:sz w:val="22"/>
          <w:szCs w:val="22"/>
        </w:rPr>
      </w:pPr>
      <w:r w:rsidRPr="00645208">
        <w:rPr>
          <w:rFonts w:asciiTheme="minorHAnsi" w:hAnsiTheme="minorHAnsi" w:cstheme="minorHAnsi"/>
          <w:b/>
          <w:bCs/>
          <w:sz w:val="22"/>
          <w:szCs w:val="22"/>
        </w:rPr>
        <w:t xml:space="preserve">Document Type: </w:t>
      </w:r>
      <w:r w:rsidRPr="00645208">
        <w:rPr>
          <w:rFonts w:asciiTheme="minorHAnsi" w:hAnsiTheme="minorHAnsi" w:cstheme="minorHAnsi"/>
          <w:sz w:val="22"/>
          <w:szCs w:val="22"/>
        </w:rPr>
        <w:t>Business Requirements Document</w:t>
      </w:r>
    </w:p>
    <w:p w:rsidR="00273A3F" w:rsidRPr="00645208" w:rsidRDefault="007B6EA9" w:rsidP="002B3ECA">
      <w:pPr>
        <w:spacing w:after="25" w:line="360" w:lineRule="auto"/>
        <w:jc w:val="both"/>
        <w:rPr>
          <w:rFonts w:asciiTheme="minorHAnsi" w:hAnsiTheme="minorHAnsi" w:cstheme="minorHAnsi"/>
          <w:sz w:val="22"/>
          <w:szCs w:val="22"/>
        </w:rPr>
      </w:pPr>
      <w:r w:rsidRPr="00645208">
        <w:rPr>
          <w:rFonts w:asciiTheme="minorHAnsi" w:hAnsiTheme="minorHAnsi" w:cstheme="minorHAnsi"/>
          <w:b/>
          <w:bCs/>
          <w:sz w:val="22"/>
          <w:szCs w:val="22"/>
        </w:rPr>
        <w:t xml:space="preserve">Version: </w:t>
      </w:r>
      <w:r w:rsidRPr="00645208">
        <w:rPr>
          <w:rFonts w:asciiTheme="minorHAnsi" w:hAnsiTheme="minorHAnsi" w:cstheme="minorHAnsi"/>
          <w:sz w:val="22"/>
          <w:szCs w:val="22"/>
        </w:rPr>
        <w:t>1.0</w:t>
      </w:r>
    </w:p>
    <w:p w:rsidR="00273A3F" w:rsidRPr="00645208" w:rsidRDefault="007B6EA9" w:rsidP="002B3ECA">
      <w:pPr>
        <w:spacing w:after="25" w:line="360" w:lineRule="auto"/>
        <w:jc w:val="both"/>
        <w:rPr>
          <w:rFonts w:asciiTheme="minorHAnsi" w:hAnsiTheme="minorHAnsi" w:cstheme="minorHAnsi"/>
          <w:sz w:val="22"/>
          <w:szCs w:val="22"/>
        </w:rPr>
      </w:pPr>
      <w:r w:rsidRPr="00645208">
        <w:rPr>
          <w:rFonts w:asciiTheme="minorHAnsi" w:hAnsiTheme="minorHAnsi" w:cstheme="minorHAnsi"/>
          <w:b/>
          <w:bCs/>
          <w:sz w:val="22"/>
          <w:szCs w:val="22"/>
        </w:rPr>
        <w:t xml:space="preserve">Date: </w:t>
      </w:r>
      <w:r w:rsidRPr="00645208">
        <w:rPr>
          <w:rFonts w:asciiTheme="minorHAnsi" w:hAnsiTheme="minorHAnsi" w:cstheme="minorHAnsi"/>
          <w:sz w:val="22"/>
          <w:szCs w:val="22"/>
        </w:rPr>
        <w:t>August 15, 2026</w:t>
      </w:r>
    </w:p>
    <w:p w:rsidR="00273A3F" w:rsidRPr="00645208" w:rsidRDefault="007B6EA9" w:rsidP="002B3ECA">
      <w:pPr>
        <w:spacing w:after="25" w:line="360" w:lineRule="auto"/>
        <w:jc w:val="both"/>
        <w:rPr>
          <w:rFonts w:asciiTheme="minorHAnsi" w:hAnsiTheme="minorHAnsi" w:cstheme="minorHAnsi"/>
          <w:sz w:val="22"/>
          <w:szCs w:val="22"/>
        </w:rPr>
      </w:pPr>
      <w:r w:rsidRPr="00645208">
        <w:rPr>
          <w:rFonts w:asciiTheme="minorHAnsi" w:hAnsiTheme="minorHAnsi" w:cstheme="minorHAnsi"/>
          <w:b/>
          <w:bCs/>
          <w:sz w:val="22"/>
          <w:szCs w:val="22"/>
        </w:rPr>
        <w:t xml:space="preserve">Prepared by: </w:t>
      </w:r>
      <w:r w:rsidRPr="00645208">
        <w:rPr>
          <w:rFonts w:asciiTheme="minorHAnsi" w:hAnsiTheme="minorHAnsi" w:cstheme="minorHAnsi"/>
          <w:sz w:val="22"/>
          <w:szCs w:val="22"/>
        </w:rPr>
        <w:t>Ankit Attri</w:t>
      </w:r>
    </w:p>
    <w:p w:rsidR="00273A3F" w:rsidRPr="00645208" w:rsidRDefault="007B6EA9" w:rsidP="002B3ECA">
      <w:pPr>
        <w:pStyle w:val="Heading2"/>
        <w:pBdr>
          <w:bottom w:val="single" w:sz="6" w:space="4" w:color="1F3864"/>
        </w:pBdr>
        <w:spacing w:before="200" w:after="90" w:line="360" w:lineRule="auto"/>
        <w:jc w:val="both"/>
        <w:rPr>
          <w:rFonts w:asciiTheme="minorHAnsi" w:hAnsiTheme="minorHAnsi" w:cstheme="minorHAnsi"/>
        </w:rPr>
      </w:pPr>
      <w:r w:rsidRPr="00645208">
        <w:rPr>
          <w:rFonts w:asciiTheme="minorHAnsi" w:hAnsiTheme="minorHAnsi" w:cstheme="minorHAnsi"/>
          <w:b/>
          <w:bCs/>
          <w:color w:val="1F3864"/>
          <w:sz w:val="25"/>
          <w:szCs w:val="25"/>
        </w:rPr>
        <w:t>1. Executive Summary</w:t>
      </w:r>
    </w:p>
    <w:p w:rsidR="00273A3F" w:rsidRPr="00645208" w:rsidRDefault="007B6EA9" w:rsidP="002B3ECA">
      <w:pPr>
        <w:spacing w:after="110" w:line="360" w:lineRule="auto"/>
        <w:jc w:val="both"/>
        <w:rPr>
          <w:rFonts w:asciiTheme="minorHAnsi" w:hAnsiTheme="minorHAnsi" w:cstheme="minorHAnsi"/>
          <w:sz w:val="18"/>
          <w:szCs w:val="18"/>
        </w:rPr>
      </w:pPr>
      <w:r w:rsidRPr="00645208">
        <w:rPr>
          <w:rFonts w:asciiTheme="minorHAnsi" w:hAnsiTheme="minorHAnsi" w:cstheme="minorHAnsi"/>
          <w:sz w:val="18"/>
          <w:szCs w:val="18"/>
        </w:rPr>
        <w:t>InsightForge is a configuration-driven executive analytics platform that converts verified business metrics into decision-ready narrative reports. The platform separates analytical computation from language generation: SQL and Python calculate every metric, status classification, and diagnostic ranking, while a language model is limited to communicating those pre-verified findings in executive language. No metric, threshold, or business conclusion originates from the language model itself.</w:t>
      </w:r>
    </w:p>
    <w:p w:rsidR="00273A3F" w:rsidRPr="00645208" w:rsidRDefault="007B6EA9" w:rsidP="002B3ECA">
      <w:pPr>
        <w:spacing w:after="110" w:line="360" w:lineRule="auto"/>
        <w:jc w:val="both"/>
        <w:rPr>
          <w:rFonts w:asciiTheme="minorHAnsi" w:hAnsiTheme="minorHAnsi" w:cstheme="minorHAnsi"/>
          <w:sz w:val="18"/>
          <w:szCs w:val="18"/>
        </w:rPr>
      </w:pPr>
      <w:r w:rsidRPr="00645208">
        <w:rPr>
          <w:rFonts w:asciiTheme="minorHAnsi" w:hAnsiTheme="minorHAnsi" w:cstheme="minorHAnsi"/>
          <w:sz w:val="18"/>
          <w:szCs w:val="18"/>
        </w:rPr>
        <w:t xml:space="preserve">The platform has been implemented and validated against two independent business domains — Retail Sales Analytics and Telecom Service Assurance Analytics — using the same core engine and a domain-specific configuration file for each. This demonstrates that the underlying architecture generalizes across business functions rather than being built for a single </w:t>
      </w:r>
      <w:r w:rsidR="008870E8" w:rsidRPr="00645208">
        <w:rPr>
          <w:rFonts w:asciiTheme="minorHAnsi" w:hAnsiTheme="minorHAnsi" w:cstheme="minorHAnsi"/>
          <w:sz w:val="18"/>
          <w:szCs w:val="18"/>
        </w:rPr>
        <w:t>dataset</w:t>
      </w:r>
      <w:r w:rsidRPr="00645208">
        <w:rPr>
          <w:rFonts w:asciiTheme="minorHAnsi" w:hAnsiTheme="minorHAnsi" w:cstheme="minorHAnsi"/>
          <w:sz w:val="18"/>
          <w:szCs w:val="18"/>
        </w:rPr>
        <w:t xml:space="preserve"> and </w:t>
      </w:r>
      <w:r w:rsidR="008870E8" w:rsidRPr="00645208">
        <w:rPr>
          <w:rFonts w:asciiTheme="minorHAnsi" w:hAnsiTheme="minorHAnsi" w:cstheme="minorHAnsi"/>
          <w:sz w:val="18"/>
          <w:szCs w:val="18"/>
        </w:rPr>
        <w:t>that new domain</w:t>
      </w:r>
      <w:r w:rsidRPr="00645208">
        <w:rPr>
          <w:rFonts w:asciiTheme="minorHAnsi" w:hAnsiTheme="minorHAnsi" w:cstheme="minorHAnsi"/>
          <w:sz w:val="18"/>
          <w:szCs w:val="18"/>
        </w:rPr>
        <w:t xml:space="preserve"> can be supported through configuration rather than through changes to the analytical or narration code.</w:t>
      </w:r>
    </w:p>
    <w:p w:rsidR="00273A3F" w:rsidRPr="00645208" w:rsidRDefault="007B6EA9" w:rsidP="002B3ECA">
      <w:pPr>
        <w:spacing w:after="110" w:line="360" w:lineRule="auto"/>
        <w:jc w:val="both"/>
        <w:rPr>
          <w:rFonts w:asciiTheme="minorHAnsi" w:hAnsiTheme="minorHAnsi" w:cstheme="minorHAnsi"/>
          <w:sz w:val="18"/>
          <w:szCs w:val="18"/>
        </w:rPr>
      </w:pPr>
      <w:r w:rsidRPr="00645208">
        <w:rPr>
          <w:rFonts w:asciiTheme="minorHAnsi" w:hAnsiTheme="minorHAnsi" w:cstheme="minorHAnsi"/>
          <w:sz w:val="18"/>
          <w:szCs w:val="18"/>
        </w:rPr>
        <w:t>This document defines the business requirements for InsightForge: the problem it addresses, the scope of the current implementation, the functional and non-functional requirements it satisfies, the business rules governing how findings are calculated and communicated, and the constraints and risks associated with the current design.</w:t>
      </w:r>
    </w:p>
    <w:p w:rsidR="00273A3F" w:rsidRPr="00645208" w:rsidRDefault="007B6EA9" w:rsidP="002B3ECA">
      <w:pPr>
        <w:pStyle w:val="Heading2"/>
        <w:pBdr>
          <w:bottom w:val="single" w:sz="6" w:space="4" w:color="1F3864"/>
        </w:pBdr>
        <w:spacing w:before="200" w:after="90" w:line="360" w:lineRule="auto"/>
        <w:jc w:val="both"/>
        <w:rPr>
          <w:rFonts w:asciiTheme="minorHAnsi" w:hAnsiTheme="minorHAnsi" w:cstheme="minorHAnsi"/>
          <w:sz w:val="18"/>
          <w:szCs w:val="18"/>
        </w:rPr>
      </w:pPr>
      <w:r w:rsidRPr="00645208">
        <w:rPr>
          <w:rFonts w:asciiTheme="minorHAnsi" w:hAnsiTheme="minorHAnsi" w:cstheme="minorHAnsi"/>
          <w:b/>
          <w:bCs/>
          <w:color w:val="1F3864"/>
          <w:sz w:val="18"/>
          <w:szCs w:val="18"/>
        </w:rPr>
        <w:t>2. Business Background</w:t>
      </w:r>
    </w:p>
    <w:p w:rsidR="00273A3F" w:rsidRPr="00645208" w:rsidRDefault="007B6EA9" w:rsidP="002B3ECA">
      <w:pPr>
        <w:spacing w:after="110" w:line="360" w:lineRule="auto"/>
        <w:jc w:val="both"/>
        <w:rPr>
          <w:rFonts w:asciiTheme="minorHAnsi" w:hAnsiTheme="minorHAnsi" w:cstheme="minorHAnsi"/>
          <w:sz w:val="18"/>
          <w:szCs w:val="18"/>
        </w:rPr>
      </w:pPr>
      <w:r w:rsidRPr="00645208">
        <w:rPr>
          <w:rFonts w:asciiTheme="minorHAnsi" w:hAnsiTheme="minorHAnsi" w:cstheme="minorHAnsi"/>
          <w:sz w:val="18"/>
          <w:szCs w:val="18"/>
        </w:rPr>
        <w:t>Executive and operational reporting in most organizations depends on analysts manually converting raw transactional and operational data into narrative summaries for leadership. This process is time-consuming, varies between analysts, and is difficult to audit after the fact, since the reasoning behind a stated conclusion is rarely captured alongside the figure itself.</w:t>
      </w:r>
    </w:p>
    <w:p w:rsidR="00273A3F" w:rsidRPr="00645208" w:rsidRDefault="007B6EA9" w:rsidP="002B3ECA">
      <w:pPr>
        <w:spacing w:after="110" w:line="360" w:lineRule="auto"/>
        <w:jc w:val="both"/>
        <w:rPr>
          <w:rFonts w:asciiTheme="minorHAnsi" w:hAnsiTheme="minorHAnsi" w:cstheme="minorHAnsi"/>
          <w:sz w:val="18"/>
          <w:szCs w:val="18"/>
        </w:rPr>
      </w:pPr>
      <w:r w:rsidRPr="00645208">
        <w:rPr>
          <w:rFonts w:asciiTheme="minorHAnsi" w:hAnsiTheme="minorHAnsi" w:cstheme="minorHAnsi"/>
          <w:sz w:val="18"/>
          <w:szCs w:val="18"/>
        </w:rPr>
        <w:t>Separately, the growing use of language models for business reporting has introduced a different risk. These models produce fluent narrative summaries, but without controls they can also generate plausible figures, trends, or conclusions that the underlying data does not actually support. In executive reporting, an unverifiable number is often more damaging than no number at all, because it can be acted on before it is questioned.</w:t>
      </w:r>
    </w:p>
    <w:p w:rsidR="00273A3F" w:rsidRPr="00645208" w:rsidRDefault="007B6EA9" w:rsidP="002B3ECA">
      <w:pPr>
        <w:spacing w:after="110" w:line="360" w:lineRule="auto"/>
        <w:jc w:val="both"/>
        <w:rPr>
          <w:rFonts w:asciiTheme="minorHAnsi" w:hAnsiTheme="minorHAnsi" w:cstheme="minorHAnsi"/>
          <w:sz w:val="18"/>
          <w:szCs w:val="18"/>
        </w:rPr>
      </w:pPr>
      <w:r w:rsidRPr="00645208">
        <w:rPr>
          <w:rFonts w:asciiTheme="minorHAnsi" w:hAnsiTheme="minorHAnsi" w:cstheme="minorHAnsi"/>
          <w:sz w:val="18"/>
          <w:szCs w:val="18"/>
        </w:rPr>
        <w:t>InsightForge's architecture is built against this background. It assumes that trust in an executive report depends on every figure being traceable to a deterministic calculation, and that a language model's role should be limited to communication rather than analysis. The platform was implemented and proven against a retail sales dataset and a telecom service assurance dataset, testing early on whether the same deterministic-first approach could generalize across unrelated business domains.</w:t>
      </w:r>
    </w:p>
    <w:p w:rsidR="00273A3F" w:rsidRPr="00645208" w:rsidRDefault="007B6EA9" w:rsidP="002B3ECA">
      <w:pPr>
        <w:pStyle w:val="Heading2"/>
        <w:pBdr>
          <w:bottom w:val="single" w:sz="6" w:space="4" w:color="1F3864"/>
        </w:pBdr>
        <w:spacing w:before="200" w:after="90" w:line="360" w:lineRule="auto"/>
        <w:jc w:val="both"/>
        <w:rPr>
          <w:rFonts w:asciiTheme="minorHAnsi" w:hAnsiTheme="minorHAnsi" w:cstheme="minorHAnsi"/>
        </w:rPr>
      </w:pPr>
      <w:r w:rsidRPr="00645208">
        <w:rPr>
          <w:rFonts w:asciiTheme="minorHAnsi" w:hAnsiTheme="minorHAnsi" w:cstheme="minorHAnsi"/>
          <w:b/>
          <w:bCs/>
          <w:color w:val="1F3864"/>
          <w:sz w:val="25"/>
          <w:szCs w:val="25"/>
        </w:rPr>
        <w:t>3. Business Problem Statement</w:t>
      </w:r>
    </w:p>
    <w:p w:rsidR="00273A3F" w:rsidRPr="00645208" w:rsidRDefault="007B6EA9" w:rsidP="002B3ECA">
      <w:pPr>
        <w:spacing w:after="110" w:line="360" w:lineRule="auto"/>
        <w:jc w:val="both"/>
        <w:rPr>
          <w:rFonts w:asciiTheme="minorHAnsi" w:hAnsiTheme="minorHAnsi" w:cstheme="minorHAnsi"/>
          <w:sz w:val="18"/>
          <w:szCs w:val="18"/>
        </w:rPr>
      </w:pPr>
      <w:r w:rsidRPr="00645208">
        <w:rPr>
          <w:rFonts w:asciiTheme="minorHAnsi" w:hAnsiTheme="minorHAnsi" w:cstheme="minorHAnsi"/>
          <w:sz w:val="18"/>
          <w:szCs w:val="18"/>
        </w:rPr>
        <w:t>Converting verified analytical results into executive-ready reporting currently requires manual analyst effort for every reporting cycle, and that effort does not transfer cleanly across business domains — a report format built for retail sales does not directly apply to telecom service assurance, or to any other function, without substantial rework.</w:t>
      </w:r>
    </w:p>
    <w:p w:rsidR="00273A3F" w:rsidRPr="00645208" w:rsidRDefault="007B6EA9" w:rsidP="002B3ECA">
      <w:pPr>
        <w:spacing w:after="110" w:line="360" w:lineRule="auto"/>
        <w:jc w:val="both"/>
        <w:rPr>
          <w:rFonts w:asciiTheme="minorHAnsi" w:hAnsiTheme="minorHAnsi" w:cstheme="minorHAnsi"/>
          <w:sz w:val="18"/>
          <w:szCs w:val="18"/>
        </w:rPr>
      </w:pPr>
      <w:r w:rsidRPr="00645208">
        <w:rPr>
          <w:rFonts w:asciiTheme="minorHAnsi" w:hAnsiTheme="minorHAnsi" w:cstheme="minorHAnsi"/>
          <w:sz w:val="18"/>
          <w:szCs w:val="18"/>
        </w:rPr>
        <w:lastRenderedPageBreak/>
        <w:t>At the same time, applying a language model directly to raw or aggregated data risks introducing unverified figures, invented trends, or causal claims the underlying data does not support. This is particularly damaging in executive reporting, where a single unsupported claim can undermine confidence in an entire report.</w:t>
      </w:r>
    </w:p>
    <w:p w:rsidR="00273A3F" w:rsidRPr="00645208" w:rsidRDefault="007B6EA9" w:rsidP="002B3ECA">
      <w:pPr>
        <w:spacing w:after="110" w:line="360" w:lineRule="auto"/>
        <w:jc w:val="both"/>
        <w:rPr>
          <w:rFonts w:asciiTheme="minorHAnsi" w:hAnsiTheme="minorHAnsi" w:cstheme="minorHAnsi"/>
          <w:sz w:val="18"/>
          <w:szCs w:val="18"/>
        </w:rPr>
      </w:pPr>
      <w:r w:rsidRPr="00645208">
        <w:rPr>
          <w:rFonts w:asciiTheme="minorHAnsi" w:hAnsiTheme="minorHAnsi" w:cstheme="minorHAnsi"/>
          <w:sz w:val="18"/>
          <w:szCs w:val="18"/>
        </w:rPr>
        <w:t>The business problem InsightForge addresses is the absence of a reporting approach that is efficient to extend across domains while remaining strictly bound to verified analytical evidence.</w:t>
      </w:r>
    </w:p>
    <w:p w:rsidR="00273A3F" w:rsidRPr="00645208" w:rsidRDefault="007B6EA9" w:rsidP="002B3ECA">
      <w:pPr>
        <w:pStyle w:val="Heading2"/>
        <w:pBdr>
          <w:bottom w:val="single" w:sz="6" w:space="4" w:color="1F3864"/>
        </w:pBdr>
        <w:spacing w:before="200" w:after="90" w:line="360" w:lineRule="auto"/>
        <w:jc w:val="both"/>
        <w:rPr>
          <w:rFonts w:asciiTheme="minorHAnsi" w:hAnsiTheme="minorHAnsi" w:cstheme="minorHAnsi"/>
        </w:rPr>
      </w:pPr>
      <w:r w:rsidRPr="00645208">
        <w:rPr>
          <w:rFonts w:asciiTheme="minorHAnsi" w:hAnsiTheme="minorHAnsi" w:cstheme="minorHAnsi"/>
          <w:b/>
          <w:bCs/>
          <w:color w:val="1F3864"/>
          <w:sz w:val="25"/>
          <w:szCs w:val="25"/>
        </w:rPr>
        <w:t>4. Business Objectives</w:t>
      </w:r>
    </w:p>
    <w:p w:rsidR="00273A3F" w:rsidRPr="00645208" w:rsidRDefault="007B6EA9" w:rsidP="002B3ECA">
      <w:pPr>
        <w:pStyle w:val="ListParagraph"/>
        <w:numPr>
          <w:ilvl w:val="0"/>
          <w:numId w:val="2"/>
        </w:numPr>
        <w:spacing w:after="60" w:line="360" w:lineRule="auto"/>
        <w:jc w:val="both"/>
        <w:rPr>
          <w:rFonts w:asciiTheme="minorHAnsi" w:hAnsiTheme="minorHAnsi" w:cstheme="minorHAnsi"/>
          <w:sz w:val="18"/>
          <w:szCs w:val="18"/>
        </w:rPr>
      </w:pPr>
      <w:r w:rsidRPr="00645208">
        <w:rPr>
          <w:rFonts w:asciiTheme="minorHAnsi" w:hAnsiTheme="minorHAnsi" w:cstheme="minorHAnsi"/>
          <w:sz w:val="18"/>
          <w:szCs w:val="18"/>
        </w:rPr>
        <w:t>Convert verified, deterministic analytics into clear executive narrative, with no analytical responsibility assigned to the language model.</w:t>
      </w:r>
    </w:p>
    <w:p w:rsidR="00273A3F" w:rsidRPr="00645208" w:rsidRDefault="007B6EA9" w:rsidP="002B3ECA">
      <w:pPr>
        <w:pStyle w:val="ListParagraph"/>
        <w:numPr>
          <w:ilvl w:val="0"/>
          <w:numId w:val="2"/>
        </w:numPr>
        <w:spacing w:after="60" w:line="360" w:lineRule="auto"/>
        <w:jc w:val="both"/>
        <w:rPr>
          <w:rFonts w:asciiTheme="minorHAnsi" w:hAnsiTheme="minorHAnsi" w:cstheme="minorHAnsi"/>
          <w:sz w:val="18"/>
          <w:szCs w:val="18"/>
        </w:rPr>
      </w:pPr>
      <w:r w:rsidRPr="00645208">
        <w:rPr>
          <w:rFonts w:asciiTheme="minorHAnsi" w:hAnsiTheme="minorHAnsi" w:cstheme="minorHAnsi"/>
          <w:sz w:val="18"/>
          <w:szCs w:val="18"/>
        </w:rPr>
        <w:t>Support additional business domains through configuration rather than through changes to core analytical or narration logic, demonstrated using two independent datasets.</w:t>
      </w:r>
    </w:p>
    <w:p w:rsidR="00273A3F" w:rsidRPr="00645208" w:rsidRDefault="007B6EA9" w:rsidP="002B3ECA">
      <w:pPr>
        <w:pStyle w:val="ListParagraph"/>
        <w:numPr>
          <w:ilvl w:val="0"/>
          <w:numId w:val="2"/>
        </w:numPr>
        <w:spacing w:after="60" w:line="360" w:lineRule="auto"/>
        <w:jc w:val="both"/>
        <w:rPr>
          <w:rFonts w:asciiTheme="minorHAnsi" w:hAnsiTheme="minorHAnsi" w:cstheme="minorHAnsi"/>
          <w:sz w:val="18"/>
          <w:szCs w:val="18"/>
        </w:rPr>
      </w:pPr>
      <w:r w:rsidRPr="00645208">
        <w:rPr>
          <w:rFonts w:asciiTheme="minorHAnsi" w:hAnsiTheme="minorHAnsi" w:cstheme="minorHAnsi"/>
          <w:sz w:val="18"/>
          <w:szCs w:val="18"/>
        </w:rPr>
        <w:t>Preserve a direct, traceable link between every reported figure and its deterministic source.</w:t>
      </w:r>
    </w:p>
    <w:p w:rsidR="00273A3F" w:rsidRPr="00645208" w:rsidRDefault="007B6EA9" w:rsidP="002B3ECA">
      <w:pPr>
        <w:pStyle w:val="ListParagraph"/>
        <w:numPr>
          <w:ilvl w:val="0"/>
          <w:numId w:val="2"/>
        </w:numPr>
        <w:spacing w:after="60" w:line="360" w:lineRule="auto"/>
        <w:jc w:val="both"/>
        <w:rPr>
          <w:rFonts w:asciiTheme="minorHAnsi" w:hAnsiTheme="minorHAnsi" w:cstheme="minorHAnsi"/>
          <w:sz w:val="18"/>
          <w:szCs w:val="18"/>
        </w:rPr>
      </w:pPr>
      <w:r w:rsidRPr="00645208">
        <w:rPr>
          <w:rFonts w:asciiTheme="minorHAnsi" w:hAnsiTheme="minorHAnsi" w:cstheme="minorHAnsi"/>
          <w:sz w:val="18"/>
          <w:szCs w:val="18"/>
        </w:rPr>
        <w:t>Provide both a structured executive report and an interactive question-and-answer mode over the same verified findings.</w:t>
      </w:r>
    </w:p>
    <w:p w:rsidR="00273A3F" w:rsidRDefault="007B6EA9" w:rsidP="002B3ECA">
      <w:pPr>
        <w:pStyle w:val="ListParagraph"/>
        <w:numPr>
          <w:ilvl w:val="0"/>
          <w:numId w:val="2"/>
        </w:numPr>
        <w:spacing w:after="60" w:line="360" w:lineRule="auto"/>
        <w:jc w:val="both"/>
        <w:rPr>
          <w:rFonts w:asciiTheme="minorHAnsi" w:hAnsiTheme="minorHAnsi" w:cstheme="minorHAnsi"/>
          <w:sz w:val="18"/>
          <w:szCs w:val="18"/>
        </w:rPr>
      </w:pPr>
      <w:r w:rsidRPr="00645208">
        <w:rPr>
          <w:rFonts w:asciiTheme="minorHAnsi" w:hAnsiTheme="minorHAnsi" w:cstheme="minorHAnsi"/>
          <w:sz w:val="18"/>
          <w:szCs w:val="18"/>
        </w:rPr>
        <w:t>Maintain consistent evidence and recommendation discipline across domains, so findings are never overstated relative to the underlying analytics.</w:t>
      </w:r>
    </w:p>
    <w:p w:rsidR="00D86DE2" w:rsidRPr="00645208" w:rsidRDefault="00D86DE2" w:rsidP="002B3ECA">
      <w:pPr>
        <w:pStyle w:val="ListParagraph"/>
        <w:numPr>
          <w:ilvl w:val="0"/>
          <w:numId w:val="2"/>
        </w:numPr>
        <w:spacing w:after="60" w:line="360" w:lineRule="auto"/>
        <w:jc w:val="both"/>
        <w:rPr>
          <w:rFonts w:asciiTheme="minorHAnsi" w:hAnsiTheme="minorHAnsi" w:cstheme="minorHAnsi"/>
          <w:sz w:val="18"/>
          <w:szCs w:val="18"/>
        </w:rPr>
      </w:pPr>
      <w:r w:rsidRPr="00D86DE2">
        <w:rPr>
          <w:rFonts w:asciiTheme="minorHAnsi" w:hAnsiTheme="minorHAnsi" w:cstheme="minorHAnsi"/>
          <w:sz w:val="18"/>
          <w:szCs w:val="18"/>
        </w:rPr>
        <w:t>Ensure consistent executive reporting regardless of business domain by enforcing a common deterministic analytics workflow.</w:t>
      </w:r>
    </w:p>
    <w:p w:rsidR="00D86DE2" w:rsidRDefault="00D86DE2" w:rsidP="002B3ECA">
      <w:pPr>
        <w:pStyle w:val="Heading2"/>
        <w:pBdr>
          <w:bottom w:val="single" w:sz="4" w:space="1" w:color="auto"/>
        </w:pBdr>
        <w:spacing w:before="200" w:after="90" w:line="360" w:lineRule="auto"/>
        <w:jc w:val="both"/>
        <w:rPr>
          <w:rFonts w:asciiTheme="minorHAnsi" w:hAnsiTheme="minorHAnsi" w:cstheme="minorHAnsi"/>
          <w:b/>
          <w:bCs/>
          <w:color w:val="1F3864"/>
          <w:sz w:val="25"/>
          <w:szCs w:val="25"/>
        </w:rPr>
      </w:pPr>
      <w:r w:rsidRPr="00D86DE2">
        <w:rPr>
          <w:rFonts w:asciiTheme="minorHAnsi" w:hAnsiTheme="minorHAnsi" w:cstheme="minorHAnsi"/>
          <w:b/>
          <w:bCs/>
          <w:color w:val="1F3864"/>
          <w:sz w:val="25"/>
          <w:szCs w:val="25"/>
        </w:rPr>
        <w:t>5. High-Level Business Process</w:t>
      </w:r>
    </w:p>
    <w:p w:rsidR="00D86DE2" w:rsidRPr="00D86DE2" w:rsidRDefault="00D86DE2" w:rsidP="002B3ECA">
      <w:pPr>
        <w:spacing w:before="100" w:beforeAutospacing="1" w:after="100" w:afterAutospacing="1" w:line="360" w:lineRule="auto"/>
        <w:rPr>
          <w:rFonts w:asciiTheme="minorHAnsi" w:eastAsia="Times New Roman" w:hAnsiTheme="minorHAnsi" w:cstheme="minorHAnsi"/>
          <w:sz w:val="18"/>
          <w:szCs w:val="18"/>
        </w:rPr>
      </w:pPr>
      <w:proofErr w:type="spellStart"/>
      <w:r w:rsidRPr="00D86DE2">
        <w:rPr>
          <w:rFonts w:asciiTheme="minorHAnsi" w:eastAsia="Times New Roman" w:hAnsiTheme="minorHAnsi" w:cstheme="minorHAnsi"/>
          <w:sz w:val="18"/>
          <w:szCs w:val="18"/>
        </w:rPr>
        <w:t>InsightForge</w:t>
      </w:r>
      <w:proofErr w:type="spellEnd"/>
      <w:r w:rsidRPr="00D86DE2">
        <w:rPr>
          <w:rFonts w:asciiTheme="minorHAnsi" w:eastAsia="Times New Roman" w:hAnsiTheme="minorHAnsi" w:cstheme="minorHAnsi"/>
          <w:sz w:val="18"/>
          <w:szCs w:val="18"/>
        </w:rPr>
        <w:t xml:space="preserve"> follows a deterministic analytics workflow in which each layer performs a single, well-defined responsibility before passing verified results to the next stage. Business metrics are calculated, interpreted, and validated before executive narration begins, ensuring that every reported finding remains explainable and traceable.</w:t>
      </w:r>
    </w:p>
    <w:tbl>
      <w:tblPr>
        <w:tblW w:w="9401" w:type="dxa"/>
        <w:tblCellSpacing w:w="15" w:type="dxa"/>
        <w:tblCellMar>
          <w:top w:w="15" w:type="dxa"/>
          <w:left w:w="15" w:type="dxa"/>
          <w:bottom w:w="15" w:type="dxa"/>
          <w:right w:w="15" w:type="dxa"/>
        </w:tblCellMar>
        <w:tblLook w:val="04A0"/>
      </w:tblPr>
      <w:tblGrid>
        <w:gridCol w:w="416"/>
        <w:gridCol w:w="3125"/>
        <w:gridCol w:w="5860"/>
      </w:tblGrid>
      <w:tr w:rsidR="00D86DE2" w:rsidRPr="00D86DE2" w:rsidTr="002B3ECA">
        <w:trPr>
          <w:trHeight w:val="260"/>
          <w:tblHeader/>
          <w:tblCellSpacing w:w="15" w:type="dxa"/>
        </w:trPr>
        <w:tc>
          <w:tcPr>
            <w:tcW w:w="0" w:type="auto"/>
            <w:vAlign w:val="center"/>
            <w:hideMark/>
          </w:tcPr>
          <w:p w:rsidR="00D86DE2" w:rsidRPr="00D86DE2" w:rsidRDefault="00D86DE2" w:rsidP="002B3ECA">
            <w:pPr>
              <w:spacing w:line="360" w:lineRule="auto"/>
              <w:jc w:val="center"/>
              <w:rPr>
                <w:rFonts w:asciiTheme="minorHAnsi" w:eastAsia="Times New Roman" w:hAnsiTheme="minorHAnsi" w:cstheme="minorHAnsi"/>
                <w:b/>
                <w:bCs/>
                <w:sz w:val="18"/>
                <w:szCs w:val="18"/>
              </w:rPr>
            </w:pPr>
            <w:r w:rsidRPr="00D86DE2">
              <w:rPr>
                <w:rFonts w:asciiTheme="minorHAnsi" w:eastAsia="Times New Roman" w:hAnsiTheme="minorHAnsi" w:cstheme="minorHAnsi"/>
                <w:b/>
                <w:bCs/>
                <w:sz w:val="18"/>
                <w:szCs w:val="18"/>
              </w:rPr>
              <w:t>Step</w:t>
            </w:r>
          </w:p>
        </w:tc>
        <w:tc>
          <w:tcPr>
            <w:tcW w:w="0" w:type="auto"/>
            <w:vAlign w:val="center"/>
            <w:hideMark/>
          </w:tcPr>
          <w:p w:rsidR="00D86DE2" w:rsidRPr="00D86DE2" w:rsidRDefault="00D86DE2" w:rsidP="002B3ECA">
            <w:pPr>
              <w:spacing w:line="360" w:lineRule="auto"/>
              <w:rPr>
                <w:rFonts w:asciiTheme="minorHAnsi" w:eastAsia="Times New Roman" w:hAnsiTheme="minorHAnsi" w:cstheme="minorHAnsi"/>
                <w:b/>
                <w:bCs/>
                <w:sz w:val="18"/>
                <w:szCs w:val="18"/>
              </w:rPr>
            </w:pPr>
            <w:r>
              <w:rPr>
                <w:rFonts w:asciiTheme="minorHAnsi" w:eastAsia="Times New Roman" w:hAnsiTheme="minorHAnsi" w:cstheme="minorHAnsi"/>
                <w:b/>
                <w:bCs/>
                <w:sz w:val="18"/>
                <w:szCs w:val="18"/>
              </w:rPr>
              <w:t xml:space="preserve">                    </w:t>
            </w:r>
            <w:r w:rsidRPr="00D86DE2">
              <w:rPr>
                <w:rFonts w:asciiTheme="minorHAnsi" w:eastAsia="Times New Roman" w:hAnsiTheme="minorHAnsi" w:cstheme="minorHAnsi"/>
                <w:b/>
                <w:bCs/>
                <w:sz w:val="18"/>
                <w:szCs w:val="18"/>
              </w:rPr>
              <w:t>Business Process</w:t>
            </w:r>
          </w:p>
        </w:tc>
        <w:tc>
          <w:tcPr>
            <w:tcW w:w="5815" w:type="dxa"/>
            <w:vAlign w:val="center"/>
            <w:hideMark/>
          </w:tcPr>
          <w:p w:rsidR="00D86DE2" w:rsidRPr="00D86DE2" w:rsidRDefault="00D86DE2" w:rsidP="002B3ECA">
            <w:pPr>
              <w:spacing w:line="360" w:lineRule="auto"/>
              <w:jc w:val="center"/>
              <w:rPr>
                <w:rFonts w:asciiTheme="minorHAnsi" w:eastAsia="Times New Roman" w:hAnsiTheme="minorHAnsi" w:cstheme="minorHAnsi"/>
                <w:b/>
                <w:bCs/>
                <w:sz w:val="18"/>
                <w:szCs w:val="18"/>
              </w:rPr>
            </w:pPr>
            <w:r w:rsidRPr="00D86DE2">
              <w:rPr>
                <w:rFonts w:asciiTheme="minorHAnsi" w:eastAsia="Times New Roman" w:hAnsiTheme="minorHAnsi" w:cstheme="minorHAnsi"/>
                <w:b/>
                <w:bCs/>
                <w:sz w:val="18"/>
                <w:szCs w:val="18"/>
              </w:rPr>
              <w:t>Outcome</w:t>
            </w:r>
          </w:p>
        </w:tc>
      </w:tr>
      <w:tr w:rsidR="00D86DE2" w:rsidRPr="00D86DE2" w:rsidTr="002B3ECA">
        <w:trPr>
          <w:trHeight w:val="260"/>
          <w:tblCellSpacing w:w="15" w:type="dxa"/>
        </w:trPr>
        <w:tc>
          <w:tcPr>
            <w:tcW w:w="0" w:type="auto"/>
            <w:vAlign w:val="center"/>
            <w:hideMark/>
          </w:tcPr>
          <w:p w:rsidR="00D86DE2" w:rsidRPr="00D86DE2" w:rsidRDefault="00D86DE2" w:rsidP="002B3ECA">
            <w:pPr>
              <w:spacing w:line="360" w:lineRule="auto"/>
              <w:rPr>
                <w:rFonts w:asciiTheme="minorHAnsi" w:eastAsia="Times New Roman" w:hAnsiTheme="minorHAnsi" w:cstheme="minorHAnsi"/>
                <w:sz w:val="18"/>
                <w:szCs w:val="18"/>
              </w:rPr>
            </w:pPr>
            <w:r w:rsidRPr="00D86DE2">
              <w:rPr>
                <w:rFonts w:asciiTheme="minorHAnsi" w:eastAsia="Times New Roman" w:hAnsiTheme="minorHAnsi" w:cstheme="minorHAnsi"/>
                <w:sz w:val="18"/>
                <w:szCs w:val="18"/>
              </w:rPr>
              <w:t>1</w:t>
            </w:r>
          </w:p>
        </w:tc>
        <w:tc>
          <w:tcPr>
            <w:tcW w:w="0" w:type="auto"/>
            <w:vAlign w:val="center"/>
            <w:hideMark/>
          </w:tcPr>
          <w:p w:rsidR="00D86DE2" w:rsidRPr="00D86DE2" w:rsidRDefault="00D86DE2" w:rsidP="002B3ECA">
            <w:pPr>
              <w:spacing w:line="360" w:lineRule="auto"/>
              <w:rPr>
                <w:rFonts w:asciiTheme="minorHAnsi" w:eastAsia="Times New Roman" w:hAnsiTheme="minorHAnsi" w:cstheme="minorHAnsi"/>
                <w:sz w:val="18"/>
                <w:szCs w:val="18"/>
              </w:rPr>
            </w:pPr>
            <w:r>
              <w:rPr>
                <w:rFonts w:asciiTheme="minorHAnsi" w:eastAsia="Times New Roman" w:hAnsiTheme="minorHAnsi" w:cstheme="minorHAnsi"/>
                <w:sz w:val="18"/>
                <w:szCs w:val="18"/>
              </w:rPr>
              <w:t xml:space="preserve">      </w:t>
            </w:r>
            <w:r w:rsidRPr="00D86DE2">
              <w:rPr>
                <w:rFonts w:asciiTheme="minorHAnsi" w:eastAsia="Times New Roman" w:hAnsiTheme="minorHAnsi" w:cstheme="minorHAnsi"/>
                <w:sz w:val="18"/>
                <w:szCs w:val="18"/>
              </w:rPr>
              <w:t>Business Data</w:t>
            </w:r>
          </w:p>
        </w:tc>
        <w:tc>
          <w:tcPr>
            <w:tcW w:w="5815" w:type="dxa"/>
            <w:vAlign w:val="center"/>
            <w:hideMark/>
          </w:tcPr>
          <w:p w:rsidR="00D86DE2" w:rsidRPr="00D86DE2" w:rsidRDefault="00D86DE2" w:rsidP="002B3ECA">
            <w:pPr>
              <w:spacing w:line="360" w:lineRule="auto"/>
              <w:rPr>
                <w:rFonts w:asciiTheme="minorHAnsi" w:eastAsia="Times New Roman" w:hAnsiTheme="minorHAnsi" w:cstheme="minorHAnsi"/>
                <w:sz w:val="18"/>
                <w:szCs w:val="18"/>
              </w:rPr>
            </w:pPr>
            <w:r>
              <w:rPr>
                <w:rFonts w:asciiTheme="minorHAnsi" w:eastAsia="Times New Roman" w:hAnsiTheme="minorHAnsi" w:cstheme="minorHAnsi"/>
                <w:sz w:val="18"/>
                <w:szCs w:val="18"/>
              </w:rPr>
              <w:t xml:space="preserve">        </w:t>
            </w:r>
            <w:r w:rsidRPr="00D86DE2">
              <w:rPr>
                <w:rFonts w:asciiTheme="minorHAnsi" w:eastAsia="Times New Roman" w:hAnsiTheme="minorHAnsi" w:cstheme="minorHAnsi"/>
                <w:sz w:val="18"/>
                <w:szCs w:val="18"/>
              </w:rPr>
              <w:t>Operational and transactional source data</w:t>
            </w:r>
          </w:p>
        </w:tc>
      </w:tr>
      <w:tr w:rsidR="00D86DE2" w:rsidRPr="00D86DE2" w:rsidTr="002B3ECA">
        <w:trPr>
          <w:trHeight w:val="260"/>
          <w:tblCellSpacing w:w="15" w:type="dxa"/>
        </w:trPr>
        <w:tc>
          <w:tcPr>
            <w:tcW w:w="0" w:type="auto"/>
            <w:vAlign w:val="center"/>
            <w:hideMark/>
          </w:tcPr>
          <w:p w:rsidR="00D86DE2" w:rsidRPr="00D86DE2" w:rsidRDefault="00D86DE2" w:rsidP="002B3ECA">
            <w:pPr>
              <w:spacing w:line="360" w:lineRule="auto"/>
              <w:rPr>
                <w:rFonts w:asciiTheme="minorHAnsi" w:eastAsia="Times New Roman" w:hAnsiTheme="minorHAnsi" w:cstheme="minorHAnsi"/>
                <w:sz w:val="18"/>
                <w:szCs w:val="18"/>
              </w:rPr>
            </w:pPr>
            <w:r w:rsidRPr="00D86DE2">
              <w:rPr>
                <w:rFonts w:asciiTheme="minorHAnsi" w:eastAsia="Times New Roman" w:hAnsiTheme="minorHAnsi" w:cstheme="minorHAnsi"/>
                <w:sz w:val="18"/>
                <w:szCs w:val="18"/>
              </w:rPr>
              <w:t>2</w:t>
            </w:r>
          </w:p>
        </w:tc>
        <w:tc>
          <w:tcPr>
            <w:tcW w:w="0" w:type="auto"/>
            <w:vAlign w:val="center"/>
            <w:hideMark/>
          </w:tcPr>
          <w:p w:rsidR="00D86DE2" w:rsidRPr="00D86DE2" w:rsidRDefault="00D86DE2" w:rsidP="002B3ECA">
            <w:pPr>
              <w:spacing w:line="360" w:lineRule="auto"/>
              <w:rPr>
                <w:rFonts w:asciiTheme="minorHAnsi" w:eastAsia="Times New Roman" w:hAnsiTheme="minorHAnsi" w:cstheme="minorHAnsi"/>
                <w:sz w:val="18"/>
                <w:szCs w:val="18"/>
              </w:rPr>
            </w:pPr>
            <w:r>
              <w:rPr>
                <w:rFonts w:asciiTheme="minorHAnsi" w:eastAsia="Times New Roman" w:hAnsiTheme="minorHAnsi" w:cstheme="minorHAnsi"/>
                <w:sz w:val="18"/>
                <w:szCs w:val="18"/>
              </w:rPr>
              <w:t xml:space="preserve">      </w:t>
            </w:r>
            <w:r w:rsidRPr="00D86DE2">
              <w:rPr>
                <w:rFonts w:asciiTheme="minorHAnsi" w:eastAsia="Times New Roman" w:hAnsiTheme="minorHAnsi" w:cstheme="minorHAnsi"/>
                <w:sz w:val="18"/>
                <w:szCs w:val="18"/>
              </w:rPr>
              <w:t>SQL Analytics</w:t>
            </w:r>
          </w:p>
        </w:tc>
        <w:tc>
          <w:tcPr>
            <w:tcW w:w="5815" w:type="dxa"/>
            <w:vAlign w:val="center"/>
            <w:hideMark/>
          </w:tcPr>
          <w:p w:rsidR="00D86DE2" w:rsidRPr="00D86DE2" w:rsidRDefault="00D86DE2" w:rsidP="002B3ECA">
            <w:pPr>
              <w:spacing w:line="360" w:lineRule="auto"/>
              <w:rPr>
                <w:rFonts w:asciiTheme="minorHAnsi" w:eastAsia="Times New Roman" w:hAnsiTheme="minorHAnsi" w:cstheme="minorHAnsi"/>
                <w:sz w:val="18"/>
                <w:szCs w:val="18"/>
              </w:rPr>
            </w:pPr>
            <w:r>
              <w:rPr>
                <w:rFonts w:asciiTheme="minorHAnsi" w:eastAsia="Times New Roman" w:hAnsiTheme="minorHAnsi" w:cstheme="minorHAnsi"/>
                <w:sz w:val="18"/>
                <w:szCs w:val="18"/>
              </w:rPr>
              <w:t xml:space="preserve">        </w:t>
            </w:r>
            <w:r w:rsidRPr="00D86DE2">
              <w:rPr>
                <w:rFonts w:asciiTheme="minorHAnsi" w:eastAsia="Times New Roman" w:hAnsiTheme="minorHAnsi" w:cstheme="minorHAnsi"/>
                <w:sz w:val="18"/>
                <w:szCs w:val="18"/>
              </w:rPr>
              <w:t>Data preparation and KPI aggregation</w:t>
            </w:r>
          </w:p>
        </w:tc>
      </w:tr>
      <w:tr w:rsidR="00D86DE2" w:rsidRPr="00D86DE2" w:rsidTr="002B3ECA">
        <w:trPr>
          <w:trHeight w:val="260"/>
          <w:tblCellSpacing w:w="15" w:type="dxa"/>
        </w:trPr>
        <w:tc>
          <w:tcPr>
            <w:tcW w:w="0" w:type="auto"/>
            <w:vAlign w:val="center"/>
            <w:hideMark/>
          </w:tcPr>
          <w:p w:rsidR="00D86DE2" w:rsidRPr="00D86DE2" w:rsidRDefault="00D86DE2" w:rsidP="002B3ECA">
            <w:pPr>
              <w:spacing w:line="360" w:lineRule="auto"/>
              <w:rPr>
                <w:rFonts w:asciiTheme="minorHAnsi" w:eastAsia="Times New Roman" w:hAnsiTheme="minorHAnsi" w:cstheme="minorHAnsi"/>
                <w:sz w:val="18"/>
                <w:szCs w:val="18"/>
              </w:rPr>
            </w:pPr>
            <w:r w:rsidRPr="00D86DE2">
              <w:rPr>
                <w:rFonts w:asciiTheme="minorHAnsi" w:eastAsia="Times New Roman" w:hAnsiTheme="minorHAnsi" w:cstheme="minorHAnsi"/>
                <w:sz w:val="18"/>
                <w:szCs w:val="18"/>
              </w:rPr>
              <w:t>3</w:t>
            </w:r>
          </w:p>
        </w:tc>
        <w:tc>
          <w:tcPr>
            <w:tcW w:w="0" w:type="auto"/>
            <w:vAlign w:val="center"/>
            <w:hideMark/>
          </w:tcPr>
          <w:p w:rsidR="00D86DE2" w:rsidRPr="00D86DE2" w:rsidRDefault="00D86DE2" w:rsidP="002B3ECA">
            <w:pPr>
              <w:spacing w:line="360" w:lineRule="auto"/>
              <w:rPr>
                <w:rFonts w:asciiTheme="minorHAnsi" w:eastAsia="Times New Roman" w:hAnsiTheme="minorHAnsi" w:cstheme="minorHAnsi"/>
                <w:sz w:val="18"/>
                <w:szCs w:val="18"/>
              </w:rPr>
            </w:pPr>
            <w:r>
              <w:rPr>
                <w:rFonts w:asciiTheme="minorHAnsi" w:eastAsia="Times New Roman" w:hAnsiTheme="minorHAnsi" w:cstheme="minorHAnsi"/>
                <w:sz w:val="18"/>
                <w:szCs w:val="18"/>
              </w:rPr>
              <w:t xml:space="preserve">     </w:t>
            </w:r>
            <w:r w:rsidRPr="00D86DE2">
              <w:rPr>
                <w:rFonts w:asciiTheme="minorHAnsi" w:eastAsia="Times New Roman" w:hAnsiTheme="minorHAnsi" w:cstheme="minorHAnsi"/>
                <w:sz w:val="18"/>
                <w:szCs w:val="18"/>
              </w:rPr>
              <w:t>Python Analytics Engine</w:t>
            </w:r>
          </w:p>
        </w:tc>
        <w:tc>
          <w:tcPr>
            <w:tcW w:w="5815" w:type="dxa"/>
            <w:vAlign w:val="center"/>
            <w:hideMark/>
          </w:tcPr>
          <w:p w:rsidR="00D86DE2" w:rsidRPr="00D86DE2" w:rsidRDefault="00D86DE2" w:rsidP="002B3ECA">
            <w:pPr>
              <w:spacing w:line="360" w:lineRule="auto"/>
              <w:rPr>
                <w:rFonts w:asciiTheme="minorHAnsi" w:eastAsia="Times New Roman" w:hAnsiTheme="minorHAnsi" w:cstheme="minorHAnsi"/>
                <w:sz w:val="18"/>
                <w:szCs w:val="18"/>
              </w:rPr>
            </w:pPr>
            <w:r>
              <w:rPr>
                <w:rFonts w:asciiTheme="minorHAnsi" w:eastAsia="Times New Roman" w:hAnsiTheme="minorHAnsi" w:cstheme="minorHAnsi"/>
                <w:sz w:val="18"/>
                <w:szCs w:val="18"/>
              </w:rPr>
              <w:t xml:space="preserve">        </w:t>
            </w:r>
            <w:r w:rsidRPr="00D86DE2">
              <w:rPr>
                <w:rFonts w:asciiTheme="minorHAnsi" w:eastAsia="Times New Roman" w:hAnsiTheme="minorHAnsi" w:cstheme="minorHAnsi"/>
                <w:sz w:val="18"/>
                <w:szCs w:val="18"/>
              </w:rPr>
              <w:t>Deterministic KPI calculation</w:t>
            </w:r>
          </w:p>
        </w:tc>
      </w:tr>
      <w:tr w:rsidR="00D86DE2" w:rsidRPr="00D86DE2" w:rsidTr="002B3ECA">
        <w:trPr>
          <w:trHeight w:val="260"/>
          <w:tblCellSpacing w:w="15" w:type="dxa"/>
        </w:trPr>
        <w:tc>
          <w:tcPr>
            <w:tcW w:w="0" w:type="auto"/>
            <w:vAlign w:val="center"/>
            <w:hideMark/>
          </w:tcPr>
          <w:p w:rsidR="00D86DE2" w:rsidRPr="00D86DE2" w:rsidRDefault="00D86DE2" w:rsidP="002B3ECA">
            <w:pPr>
              <w:spacing w:line="360" w:lineRule="auto"/>
              <w:rPr>
                <w:rFonts w:asciiTheme="minorHAnsi" w:eastAsia="Times New Roman" w:hAnsiTheme="minorHAnsi" w:cstheme="minorHAnsi"/>
                <w:sz w:val="18"/>
                <w:szCs w:val="18"/>
              </w:rPr>
            </w:pPr>
            <w:r w:rsidRPr="00D86DE2">
              <w:rPr>
                <w:rFonts w:asciiTheme="minorHAnsi" w:eastAsia="Times New Roman" w:hAnsiTheme="minorHAnsi" w:cstheme="minorHAnsi"/>
                <w:sz w:val="18"/>
                <w:szCs w:val="18"/>
              </w:rPr>
              <w:t>4</w:t>
            </w:r>
          </w:p>
        </w:tc>
        <w:tc>
          <w:tcPr>
            <w:tcW w:w="0" w:type="auto"/>
            <w:vAlign w:val="center"/>
            <w:hideMark/>
          </w:tcPr>
          <w:p w:rsidR="00D86DE2" w:rsidRPr="00D86DE2" w:rsidRDefault="00D86DE2" w:rsidP="002B3ECA">
            <w:pPr>
              <w:spacing w:line="360" w:lineRule="auto"/>
              <w:rPr>
                <w:rFonts w:asciiTheme="minorHAnsi" w:eastAsia="Times New Roman" w:hAnsiTheme="minorHAnsi" w:cstheme="minorHAnsi"/>
                <w:sz w:val="18"/>
                <w:szCs w:val="18"/>
              </w:rPr>
            </w:pPr>
            <w:r>
              <w:rPr>
                <w:rFonts w:asciiTheme="minorHAnsi" w:eastAsia="Times New Roman" w:hAnsiTheme="minorHAnsi" w:cstheme="minorHAnsi"/>
                <w:sz w:val="18"/>
                <w:szCs w:val="18"/>
              </w:rPr>
              <w:t xml:space="preserve">     </w:t>
            </w:r>
            <w:r w:rsidRPr="00D86DE2">
              <w:rPr>
                <w:rFonts w:asciiTheme="minorHAnsi" w:eastAsia="Times New Roman" w:hAnsiTheme="minorHAnsi" w:cstheme="minorHAnsi"/>
                <w:sz w:val="18"/>
                <w:szCs w:val="18"/>
              </w:rPr>
              <w:t>Business Interpretation Layer</w:t>
            </w:r>
          </w:p>
        </w:tc>
        <w:tc>
          <w:tcPr>
            <w:tcW w:w="5815" w:type="dxa"/>
            <w:vAlign w:val="center"/>
            <w:hideMark/>
          </w:tcPr>
          <w:p w:rsidR="00D86DE2" w:rsidRPr="00D86DE2" w:rsidRDefault="00D86DE2" w:rsidP="002B3ECA">
            <w:pPr>
              <w:spacing w:line="360" w:lineRule="auto"/>
              <w:rPr>
                <w:rFonts w:asciiTheme="minorHAnsi" w:eastAsia="Times New Roman" w:hAnsiTheme="minorHAnsi" w:cstheme="minorHAnsi"/>
                <w:sz w:val="18"/>
                <w:szCs w:val="18"/>
              </w:rPr>
            </w:pPr>
            <w:r>
              <w:rPr>
                <w:rFonts w:asciiTheme="minorHAnsi" w:eastAsia="Times New Roman" w:hAnsiTheme="minorHAnsi" w:cstheme="minorHAnsi"/>
                <w:sz w:val="18"/>
                <w:szCs w:val="18"/>
              </w:rPr>
              <w:t xml:space="preserve">        </w:t>
            </w:r>
            <w:r w:rsidRPr="00D86DE2">
              <w:rPr>
                <w:rFonts w:asciiTheme="minorHAnsi" w:eastAsia="Times New Roman" w:hAnsiTheme="minorHAnsi" w:cstheme="minorHAnsi"/>
                <w:sz w:val="18"/>
                <w:szCs w:val="18"/>
              </w:rPr>
              <w:t>Status classification, diagnostics, and comparisons</w:t>
            </w:r>
          </w:p>
        </w:tc>
      </w:tr>
      <w:tr w:rsidR="00D86DE2" w:rsidRPr="00D86DE2" w:rsidTr="002B3ECA">
        <w:trPr>
          <w:trHeight w:val="260"/>
          <w:tblCellSpacing w:w="15" w:type="dxa"/>
        </w:trPr>
        <w:tc>
          <w:tcPr>
            <w:tcW w:w="0" w:type="auto"/>
            <w:vAlign w:val="center"/>
            <w:hideMark/>
          </w:tcPr>
          <w:p w:rsidR="00D86DE2" w:rsidRPr="00D86DE2" w:rsidRDefault="00D86DE2" w:rsidP="002B3ECA">
            <w:pPr>
              <w:spacing w:line="360" w:lineRule="auto"/>
              <w:rPr>
                <w:rFonts w:asciiTheme="minorHAnsi" w:eastAsia="Times New Roman" w:hAnsiTheme="minorHAnsi" w:cstheme="minorHAnsi"/>
                <w:sz w:val="18"/>
                <w:szCs w:val="18"/>
              </w:rPr>
            </w:pPr>
            <w:r w:rsidRPr="00D86DE2">
              <w:rPr>
                <w:rFonts w:asciiTheme="minorHAnsi" w:eastAsia="Times New Roman" w:hAnsiTheme="minorHAnsi" w:cstheme="minorHAnsi"/>
                <w:sz w:val="18"/>
                <w:szCs w:val="18"/>
              </w:rPr>
              <w:t>5</w:t>
            </w:r>
          </w:p>
        </w:tc>
        <w:tc>
          <w:tcPr>
            <w:tcW w:w="0" w:type="auto"/>
            <w:vAlign w:val="center"/>
            <w:hideMark/>
          </w:tcPr>
          <w:p w:rsidR="00D86DE2" w:rsidRPr="00D86DE2" w:rsidRDefault="00D86DE2" w:rsidP="002B3ECA">
            <w:pPr>
              <w:spacing w:line="360" w:lineRule="auto"/>
              <w:rPr>
                <w:rFonts w:asciiTheme="minorHAnsi" w:eastAsia="Times New Roman" w:hAnsiTheme="minorHAnsi" w:cstheme="minorHAnsi"/>
                <w:sz w:val="18"/>
                <w:szCs w:val="18"/>
              </w:rPr>
            </w:pPr>
            <w:r>
              <w:rPr>
                <w:rFonts w:asciiTheme="minorHAnsi" w:eastAsia="Times New Roman" w:hAnsiTheme="minorHAnsi" w:cstheme="minorHAnsi"/>
                <w:sz w:val="18"/>
                <w:szCs w:val="18"/>
              </w:rPr>
              <w:t xml:space="preserve">     </w:t>
            </w:r>
            <w:r w:rsidRPr="00D86DE2">
              <w:rPr>
                <w:rFonts w:asciiTheme="minorHAnsi" w:eastAsia="Times New Roman" w:hAnsiTheme="minorHAnsi" w:cstheme="minorHAnsi"/>
                <w:sz w:val="18"/>
                <w:szCs w:val="18"/>
              </w:rPr>
              <w:t>Executive Narration Layer</w:t>
            </w:r>
          </w:p>
        </w:tc>
        <w:tc>
          <w:tcPr>
            <w:tcW w:w="5815" w:type="dxa"/>
            <w:vAlign w:val="center"/>
            <w:hideMark/>
          </w:tcPr>
          <w:p w:rsidR="00D86DE2" w:rsidRPr="00D86DE2" w:rsidRDefault="00D86DE2" w:rsidP="002B3ECA">
            <w:pPr>
              <w:spacing w:line="360" w:lineRule="auto"/>
              <w:rPr>
                <w:rFonts w:asciiTheme="minorHAnsi" w:eastAsia="Times New Roman" w:hAnsiTheme="minorHAnsi" w:cstheme="minorHAnsi"/>
                <w:sz w:val="18"/>
                <w:szCs w:val="18"/>
              </w:rPr>
            </w:pPr>
            <w:r>
              <w:rPr>
                <w:rFonts w:asciiTheme="minorHAnsi" w:eastAsia="Times New Roman" w:hAnsiTheme="minorHAnsi" w:cstheme="minorHAnsi"/>
                <w:sz w:val="18"/>
                <w:szCs w:val="18"/>
              </w:rPr>
              <w:t xml:space="preserve">        </w:t>
            </w:r>
            <w:r w:rsidRPr="00D86DE2">
              <w:rPr>
                <w:rFonts w:asciiTheme="minorHAnsi" w:eastAsia="Times New Roman" w:hAnsiTheme="minorHAnsi" w:cstheme="minorHAnsi"/>
                <w:sz w:val="18"/>
                <w:szCs w:val="18"/>
              </w:rPr>
              <w:t>Executive communication of verified findings only</w:t>
            </w:r>
          </w:p>
        </w:tc>
      </w:tr>
      <w:tr w:rsidR="00D86DE2" w:rsidRPr="00D86DE2" w:rsidTr="002B3ECA">
        <w:trPr>
          <w:trHeight w:val="260"/>
          <w:tblCellSpacing w:w="15" w:type="dxa"/>
        </w:trPr>
        <w:tc>
          <w:tcPr>
            <w:tcW w:w="0" w:type="auto"/>
            <w:vAlign w:val="center"/>
            <w:hideMark/>
          </w:tcPr>
          <w:p w:rsidR="00D86DE2" w:rsidRPr="00D86DE2" w:rsidRDefault="00D86DE2" w:rsidP="002B3ECA">
            <w:pPr>
              <w:spacing w:line="360" w:lineRule="auto"/>
              <w:rPr>
                <w:rFonts w:asciiTheme="minorHAnsi" w:eastAsia="Times New Roman" w:hAnsiTheme="minorHAnsi" w:cstheme="minorHAnsi"/>
                <w:sz w:val="18"/>
                <w:szCs w:val="18"/>
              </w:rPr>
            </w:pPr>
            <w:r w:rsidRPr="00D86DE2">
              <w:rPr>
                <w:rFonts w:asciiTheme="minorHAnsi" w:eastAsia="Times New Roman" w:hAnsiTheme="minorHAnsi" w:cstheme="minorHAnsi"/>
                <w:sz w:val="18"/>
                <w:szCs w:val="18"/>
              </w:rPr>
              <w:t>6</w:t>
            </w:r>
          </w:p>
        </w:tc>
        <w:tc>
          <w:tcPr>
            <w:tcW w:w="0" w:type="auto"/>
            <w:vAlign w:val="center"/>
            <w:hideMark/>
          </w:tcPr>
          <w:p w:rsidR="00D86DE2" w:rsidRPr="00D86DE2" w:rsidRDefault="00D86DE2" w:rsidP="002B3ECA">
            <w:pPr>
              <w:spacing w:line="360" w:lineRule="auto"/>
              <w:rPr>
                <w:rFonts w:asciiTheme="minorHAnsi" w:eastAsia="Times New Roman" w:hAnsiTheme="minorHAnsi" w:cstheme="minorHAnsi"/>
                <w:sz w:val="18"/>
                <w:szCs w:val="18"/>
              </w:rPr>
            </w:pPr>
            <w:r>
              <w:rPr>
                <w:rFonts w:asciiTheme="minorHAnsi" w:eastAsia="Times New Roman" w:hAnsiTheme="minorHAnsi" w:cstheme="minorHAnsi"/>
                <w:sz w:val="18"/>
                <w:szCs w:val="18"/>
              </w:rPr>
              <w:t xml:space="preserve">     </w:t>
            </w:r>
            <w:r w:rsidRPr="00D86DE2">
              <w:rPr>
                <w:rFonts w:asciiTheme="minorHAnsi" w:eastAsia="Times New Roman" w:hAnsiTheme="minorHAnsi" w:cstheme="minorHAnsi"/>
                <w:sz w:val="18"/>
                <w:szCs w:val="18"/>
              </w:rPr>
              <w:t>Executive Report &amp; Interactive Analyst</w:t>
            </w:r>
          </w:p>
        </w:tc>
        <w:tc>
          <w:tcPr>
            <w:tcW w:w="5815" w:type="dxa"/>
            <w:vAlign w:val="center"/>
            <w:hideMark/>
          </w:tcPr>
          <w:p w:rsidR="00D86DE2" w:rsidRPr="00D86DE2" w:rsidRDefault="00D86DE2" w:rsidP="002B3ECA">
            <w:pPr>
              <w:spacing w:line="360" w:lineRule="auto"/>
              <w:rPr>
                <w:rFonts w:asciiTheme="minorHAnsi" w:eastAsia="Times New Roman" w:hAnsiTheme="minorHAnsi" w:cstheme="minorHAnsi"/>
                <w:sz w:val="18"/>
                <w:szCs w:val="18"/>
              </w:rPr>
            </w:pPr>
            <w:r>
              <w:rPr>
                <w:rFonts w:asciiTheme="minorHAnsi" w:eastAsia="Times New Roman" w:hAnsiTheme="minorHAnsi" w:cstheme="minorHAnsi"/>
                <w:sz w:val="18"/>
                <w:szCs w:val="18"/>
              </w:rPr>
              <w:t xml:space="preserve">       </w:t>
            </w:r>
            <w:r w:rsidRPr="00D86DE2">
              <w:rPr>
                <w:rFonts w:asciiTheme="minorHAnsi" w:eastAsia="Times New Roman" w:hAnsiTheme="minorHAnsi" w:cstheme="minorHAnsi"/>
                <w:sz w:val="18"/>
                <w:szCs w:val="18"/>
              </w:rPr>
              <w:t>Executive report generation and natural language business Q&amp;A</w:t>
            </w:r>
          </w:p>
        </w:tc>
      </w:tr>
    </w:tbl>
    <w:p w:rsidR="00273A3F" w:rsidRPr="00645208" w:rsidRDefault="002B3ECA" w:rsidP="002B3ECA">
      <w:pPr>
        <w:pStyle w:val="Heading2"/>
        <w:pBdr>
          <w:bottom w:val="single" w:sz="4" w:space="1" w:color="auto"/>
        </w:pBdr>
        <w:spacing w:before="200" w:after="90" w:line="360" w:lineRule="auto"/>
        <w:jc w:val="both"/>
        <w:rPr>
          <w:rFonts w:asciiTheme="minorHAnsi" w:hAnsiTheme="minorHAnsi" w:cstheme="minorHAnsi"/>
        </w:rPr>
      </w:pPr>
      <w:r>
        <w:rPr>
          <w:rFonts w:asciiTheme="minorHAnsi" w:hAnsiTheme="minorHAnsi" w:cstheme="minorHAnsi"/>
          <w:b/>
          <w:bCs/>
          <w:color w:val="1F3864"/>
          <w:sz w:val="25"/>
          <w:szCs w:val="25"/>
        </w:rPr>
        <w:t>6</w:t>
      </w:r>
      <w:r w:rsidR="007B6EA9" w:rsidRPr="00645208">
        <w:rPr>
          <w:rFonts w:asciiTheme="minorHAnsi" w:hAnsiTheme="minorHAnsi" w:cstheme="minorHAnsi"/>
          <w:b/>
          <w:bCs/>
          <w:color w:val="1F3864"/>
          <w:sz w:val="25"/>
          <w:szCs w:val="25"/>
        </w:rPr>
        <w:t>. Project Scope</w:t>
      </w:r>
    </w:p>
    <w:p w:rsidR="00273A3F" w:rsidRPr="00645208" w:rsidRDefault="002B3ECA" w:rsidP="002B3ECA">
      <w:pPr>
        <w:pStyle w:val="Heading3"/>
        <w:spacing w:before="130" w:after="60" w:line="360" w:lineRule="auto"/>
        <w:jc w:val="both"/>
        <w:rPr>
          <w:rFonts w:asciiTheme="minorHAnsi" w:hAnsiTheme="minorHAnsi" w:cstheme="minorHAnsi"/>
        </w:rPr>
      </w:pPr>
      <w:r>
        <w:rPr>
          <w:rFonts w:asciiTheme="minorHAnsi" w:hAnsiTheme="minorHAnsi" w:cstheme="minorHAnsi"/>
          <w:b/>
          <w:bCs/>
          <w:color w:val="1F3864"/>
          <w:sz w:val="22"/>
          <w:szCs w:val="22"/>
        </w:rPr>
        <w:t>6</w:t>
      </w:r>
      <w:r w:rsidR="007B6EA9" w:rsidRPr="00645208">
        <w:rPr>
          <w:rFonts w:asciiTheme="minorHAnsi" w:hAnsiTheme="minorHAnsi" w:cstheme="minorHAnsi"/>
          <w:b/>
          <w:bCs/>
          <w:color w:val="1F3864"/>
          <w:sz w:val="22"/>
          <w:szCs w:val="22"/>
        </w:rPr>
        <w:t>.1 In Scope</w:t>
      </w:r>
    </w:p>
    <w:p w:rsidR="00273A3F" w:rsidRPr="00645208" w:rsidRDefault="007B6EA9" w:rsidP="002B3ECA">
      <w:pPr>
        <w:pStyle w:val="ListParagraph"/>
        <w:numPr>
          <w:ilvl w:val="0"/>
          <w:numId w:val="2"/>
        </w:numPr>
        <w:spacing w:after="60" w:line="360" w:lineRule="auto"/>
        <w:jc w:val="both"/>
        <w:rPr>
          <w:rFonts w:asciiTheme="minorHAnsi" w:hAnsiTheme="minorHAnsi" w:cstheme="minorHAnsi"/>
          <w:sz w:val="18"/>
          <w:szCs w:val="18"/>
        </w:rPr>
      </w:pPr>
      <w:r w:rsidRPr="00645208">
        <w:rPr>
          <w:rFonts w:asciiTheme="minorHAnsi" w:hAnsiTheme="minorHAnsi" w:cstheme="minorHAnsi"/>
          <w:sz w:val="18"/>
          <w:szCs w:val="18"/>
        </w:rPr>
        <w:t>Deterministic KPI calculation using SQL aggregation and Python computation, covering the eight retail metrics (Sales, Profit, Profit Margin, Average Order Value, Orders, Quantity, Average Shipping Days, Shipping Cost) and seven telecom metrics (Incident Count, SLA Breach Rate, Average Resolution Time, Total Cost, Cost per Incident, Customers Impacted, Dispatch Cost) defined in each domain's configuration.</w:t>
      </w:r>
    </w:p>
    <w:p w:rsidR="00273A3F" w:rsidRPr="00645208" w:rsidRDefault="007B6EA9" w:rsidP="002B3ECA">
      <w:pPr>
        <w:pStyle w:val="ListParagraph"/>
        <w:numPr>
          <w:ilvl w:val="0"/>
          <w:numId w:val="2"/>
        </w:numPr>
        <w:spacing w:after="60" w:line="360" w:lineRule="auto"/>
        <w:jc w:val="both"/>
        <w:rPr>
          <w:rFonts w:asciiTheme="minorHAnsi" w:hAnsiTheme="minorHAnsi" w:cstheme="minorHAnsi"/>
          <w:sz w:val="18"/>
          <w:szCs w:val="18"/>
        </w:rPr>
      </w:pPr>
      <w:r w:rsidRPr="00645208">
        <w:rPr>
          <w:rFonts w:asciiTheme="minorHAnsi" w:hAnsiTheme="minorHAnsi" w:cstheme="minorHAnsi"/>
          <w:sz w:val="18"/>
          <w:szCs w:val="18"/>
        </w:rPr>
        <w:t>Deterministic business interpretation, including status classification where thresholds are configured, and descriptive reporting where they are not.</w:t>
      </w:r>
    </w:p>
    <w:p w:rsidR="00273A3F" w:rsidRPr="00645208" w:rsidRDefault="007B6EA9" w:rsidP="002B3ECA">
      <w:pPr>
        <w:pStyle w:val="ListParagraph"/>
        <w:numPr>
          <w:ilvl w:val="0"/>
          <w:numId w:val="2"/>
        </w:numPr>
        <w:spacing w:after="60" w:line="360" w:lineRule="auto"/>
        <w:jc w:val="both"/>
        <w:rPr>
          <w:rFonts w:asciiTheme="minorHAnsi" w:hAnsiTheme="minorHAnsi" w:cstheme="minorHAnsi"/>
          <w:sz w:val="18"/>
          <w:szCs w:val="18"/>
        </w:rPr>
      </w:pPr>
      <w:r w:rsidRPr="00645208">
        <w:rPr>
          <w:rFonts w:asciiTheme="minorHAnsi" w:hAnsiTheme="minorHAnsi" w:cstheme="minorHAnsi"/>
          <w:sz w:val="18"/>
          <w:szCs w:val="18"/>
        </w:rPr>
        <w:lastRenderedPageBreak/>
        <w:t>Deterministic diagnostic ranking of contributors — for example, top sales market, top profit category, bottom profit subcategory, and top shipping cost ship mode for retail, or top states, top vendors, and top fault categories for telecom.</w:t>
      </w:r>
    </w:p>
    <w:p w:rsidR="00273A3F" w:rsidRPr="00645208" w:rsidRDefault="007B6EA9" w:rsidP="002B3ECA">
      <w:pPr>
        <w:pStyle w:val="ListParagraph"/>
        <w:numPr>
          <w:ilvl w:val="0"/>
          <w:numId w:val="2"/>
        </w:numPr>
        <w:spacing w:after="60" w:line="360" w:lineRule="auto"/>
        <w:jc w:val="both"/>
        <w:rPr>
          <w:rFonts w:asciiTheme="minorHAnsi" w:hAnsiTheme="minorHAnsi" w:cstheme="minorHAnsi"/>
          <w:sz w:val="18"/>
          <w:szCs w:val="18"/>
        </w:rPr>
      </w:pPr>
      <w:r w:rsidRPr="00645208">
        <w:rPr>
          <w:rFonts w:asciiTheme="minorHAnsi" w:hAnsiTheme="minorHAnsi" w:cstheme="minorHAnsi"/>
          <w:sz w:val="18"/>
          <w:szCs w:val="18"/>
        </w:rPr>
        <w:t>Deterministic period-over-period comparison, where explicitly configured for a given metric.</w:t>
      </w:r>
    </w:p>
    <w:p w:rsidR="00273A3F" w:rsidRPr="00645208" w:rsidRDefault="007B6EA9" w:rsidP="002B3ECA">
      <w:pPr>
        <w:pStyle w:val="ListParagraph"/>
        <w:numPr>
          <w:ilvl w:val="0"/>
          <w:numId w:val="2"/>
        </w:numPr>
        <w:spacing w:after="60" w:line="360" w:lineRule="auto"/>
        <w:jc w:val="both"/>
        <w:rPr>
          <w:rFonts w:asciiTheme="minorHAnsi" w:hAnsiTheme="minorHAnsi" w:cstheme="minorHAnsi"/>
          <w:sz w:val="18"/>
          <w:szCs w:val="18"/>
        </w:rPr>
      </w:pPr>
      <w:r w:rsidRPr="00645208">
        <w:rPr>
          <w:rFonts w:asciiTheme="minorHAnsi" w:hAnsiTheme="minorHAnsi" w:cstheme="minorHAnsi"/>
          <w:sz w:val="18"/>
          <w:szCs w:val="18"/>
        </w:rPr>
        <w:t>Executive narration of verified findings by a language model, governed by an explicit set of allowed and disallowed behaviors.</w:t>
      </w:r>
    </w:p>
    <w:p w:rsidR="00273A3F" w:rsidRPr="00645208" w:rsidRDefault="007B6EA9" w:rsidP="002B3ECA">
      <w:pPr>
        <w:pStyle w:val="ListParagraph"/>
        <w:numPr>
          <w:ilvl w:val="0"/>
          <w:numId w:val="2"/>
        </w:numPr>
        <w:spacing w:after="60" w:line="360" w:lineRule="auto"/>
        <w:jc w:val="both"/>
        <w:rPr>
          <w:rFonts w:asciiTheme="minorHAnsi" w:hAnsiTheme="minorHAnsi" w:cstheme="minorHAnsi"/>
          <w:sz w:val="18"/>
          <w:szCs w:val="18"/>
        </w:rPr>
      </w:pPr>
      <w:r w:rsidRPr="00645208">
        <w:rPr>
          <w:rFonts w:asciiTheme="minorHAnsi" w:hAnsiTheme="minorHAnsi" w:cstheme="minorHAnsi"/>
          <w:sz w:val="18"/>
          <w:szCs w:val="18"/>
        </w:rPr>
        <w:t>A structured executive report and an interactive, single-metric question-and-answer mode.</w:t>
      </w:r>
    </w:p>
    <w:p w:rsidR="00273A3F" w:rsidRPr="00645208" w:rsidRDefault="007B6EA9" w:rsidP="002B3ECA">
      <w:pPr>
        <w:pStyle w:val="ListParagraph"/>
        <w:numPr>
          <w:ilvl w:val="0"/>
          <w:numId w:val="2"/>
        </w:numPr>
        <w:spacing w:after="60" w:line="360" w:lineRule="auto"/>
        <w:jc w:val="both"/>
        <w:rPr>
          <w:rFonts w:asciiTheme="minorHAnsi" w:hAnsiTheme="minorHAnsi" w:cstheme="minorHAnsi"/>
          <w:sz w:val="18"/>
          <w:szCs w:val="18"/>
        </w:rPr>
      </w:pPr>
      <w:r w:rsidRPr="00645208">
        <w:rPr>
          <w:rFonts w:asciiTheme="minorHAnsi" w:hAnsiTheme="minorHAnsi" w:cstheme="minorHAnsi"/>
          <w:sz w:val="18"/>
          <w:szCs w:val="18"/>
        </w:rPr>
        <w:t>Configuration-driven extension to additional business domains through YAML configuration, without modifying the core engine.</w:t>
      </w:r>
    </w:p>
    <w:p w:rsidR="00273A3F" w:rsidRPr="00645208" w:rsidRDefault="002B3ECA" w:rsidP="002B3ECA">
      <w:pPr>
        <w:pStyle w:val="Heading3"/>
        <w:spacing w:before="130" w:after="60" w:line="360" w:lineRule="auto"/>
        <w:jc w:val="both"/>
        <w:rPr>
          <w:rFonts w:asciiTheme="minorHAnsi" w:hAnsiTheme="minorHAnsi" w:cstheme="minorHAnsi"/>
        </w:rPr>
      </w:pPr>
      <w:r>
        <w:rPr>
          <w:rFonts w:asciiTheme="minorHAnsi" w:hAnsiTheme="minorHAnsi" w:cstheme="minorHAnsi"/>
          <w:b/>
          <w:bCs/>
          <w:color w:val="1F3864"/>
          <w:sz w:val="22"/>
          <w:szCs w:val="22"/>
        </w:rPr>
        <w:t>6</w:t>
      </w:r>
      <w:r w:rsidR="007B6EA9" w:rsidRPr="00645208">
        <w:rPr>
          <w:rFonts w:asciiTheme="minorHAnsi" w:hAnsiTheme="minorHAnsi" w:cstheme="minorHAnsi"/>
          <w:b/>
          <w:bCs/>
          <w:color w:val="1F3864"/>
          <w:sz w:val="22"/>
          <w:szCs w:val="22"/>
        </w:rPr>
        <w:t>.2 Out of Scope</w:t>
      </w:r>
    </w:p>
    <w:p w:rsidR="00273A3F" w:rsidRPr="00645208" w:rsidRDefault="007B6EA9" w:rsidP="002B3ECA">
      <w:pPr>
        <w:pStyle w:val="ListParagraph"/>
        <w:numPr>
          <w:ilvl w:val="0"/>
          <w:numId w:val="2"/>
        </w:numPr>
        <w:spacing w:after="60" w:line="360" w:lineRule="auto"/>
        <w:jc w:val="both"/>
        <w:rPr>
          <w:rFonts w:asciiTheme="minorHAnsi" w:hAnsiTheme="minorHAnsi" w:cstheme="minorHAnsi"/>
          <w:sz w:val="18"/>
          <w:szCs w:val="18"/>
        </w:rPr>
      </w:pPr>
      <w:r w:rsidRPr="00645208">
        <w:rPr>
          <w:rFonts w:asciiTheme="minorHAnsi" w:hAnsiTheme="minorHAnsi" w:cstheme="minorHAnsi"/>
          <w:sz w:val="18"/>
          <w:szCs w:val="18"/>
        </w:rPr>
        <w:t>Any metric calculation, KPI derivation, or business rule performed by the language model.</w:t>
      </w:r>
    </w:p>
    <w:p w:rsidR="00273A3F" w:rsidRPr="00645208" w:rsidRDefault="007B6EA9" w:rsidP="002B3ECA">
      <w:pPr>
        <w:pStyle w:val="ListParagraph"/>
        <w:numPr>
          <w:ilvl w:val="0"/>
          <w:numId w:val="2"/>
        </w:numPr>
        <w:spacing w:after="60" w:line="360" w:lineRule="auto"/>
        <w:jc w:val="both"/>
        <w:rPr>
          <w:rFonts w:asciiTheme="minorHAnsi" w:hAnsiTheme="minorHAnsi" w:cstheme="minorHAnsi"/>
          <w:sz w:val="18"/>
          <w:szCs w:val="18"/>
        </w:rPr>
      </w:pPr>
      <w:r w:rsidRPr="00645208">
        <w:rPr>
          <w:rFonts w:asciiTheme="minorHAnsi" w:hAnsiTheme="minorHAnsi" w:cstheme="minorHAnsi"/>
          <w:sz w:val="18"/>
          <w:szCs w:val="18"/>
        </w:rPr>
        <w:t>Forecasting, predictive modeling, or machine learning of any kind.</w:t>
      </w:r>
    </w:p>
    <w:p w:rsidR="00273A3F" w:rsidRPr="00645208" w:rsidRDefault="007B6EA9" w:rsidP="002B3ECA">
      <w:pPr>
        <w:pStyle w:val="ListParagraph"/>
        <w:numPr>
          <w:ilvl w:val="0"/>
          <w:numId w:val="2"/>
        </w:numPr>
        <w:spacing w:after="60" w:line="360" w:lineRule="auto"/>
        <w:jc w:val="both"/>
        <w:rPr>
          <w:rFonts w:asciiTheme="minorHAnsi" w:hAnsiTheme="minorHAnsi" w:cstheme="minorHAnsi"/>
          <w:sz w:val="18"/>
          <w:szCs w:val="18"/>
        </w:rPr>
      </w:pPr>
      <w:r w:rsidRPr="00645208">
        <w:rPr>
          <w:rFonts w:asciiTheme="minorHAnsi" w:hAnsiTheme="minorHAnsi" w:cstheme="minorHAnsi"/>
          <w:sz w:val="18"/>
          <w:szCs w:val="18"/>
        </w:rPr>
        <w:t>Root-cause determination beyond what deterministic diagnostics identify as a top or bottom contributor.</w:t>
      </w:r>
    </w:p>
    <w:p w:rsidR="00273A3F" w:rsidRPr="00645208" w:rsidRDefault="007B6EA9" w:rsidP="002B3ECA">
      <w:pPr>
        <w:pStyle w:val="ListParagraph"/>
        <w:numPr>
          <w:ilvl w:val="0"/>
          <w:numId w:val="2"/>
        </w:numPr>
        <w:spacing w:after="60" w:line="360" w:lineRule="auto"/>
        <w:jc w:val="both"/>
        <w:rPr>
          <w:rFonts w:asciiTheme="minorHAnsi" w:hAnsiTheme="minorHAnsi" w:cstheme="minorHAnsi"/>
          <w:sz w:val="18"/>
          <w:szCs w:val="18"/>
        </w:rPr>
      </w:pPr>
      <w:r w:rsidRPr="00645208">
        <w:rPr>
          <w:rFonts w:asciiTheme="minorHAnsi" w:hAnsiTheme="minorHAnsi" w:cstheme="minorHAnsi"/>
          <w:sz w:val="18"/>
          <w:szCs w:val="18"/>
        </w:rPr>
        <w:t>Interactive dashboards or data visualization interfaces — identified as a future direction, not part of the current implementation.</w:t>
      </w:r>
    </w:p>
    <w:p w:rsidR="00273A3F" w:rsidRPr="00645208" w:rsidRDefault="007B6EA9" w:rsidP="002B3ECA">
      <w:pPr>
        <w:pStyle w:val="ListParagraph"/>
        <w:numPr>
          <w:ilvl w:val="0"/>
          <w:numId w:val="2"/>
        </w:numPr>
        <w:spacing w:after="60" w:line="360" w:lineRule="auto"/>
        <w:jc w:val="both"/>
        <w:rPr>
          <w:rFonts w:asciiTheme="minorHAnsi" w:hAnsiTheme="minorHAnsi" w:cstheme="minorHAnsi"/>
          <w:sz w:val="18"/>
          <w:szCs w:val="18"/>
        </w:rPr>
      </w:pPr>
      <w:r w:rsidRPr="00645208">
        <w:rPr>
          <w:rFonts w:asciiTheme="minorHAnsi" w:hAnsiTheme="minorHAnsi" w:cstheme="minorHAnsi"/>
          <w:sz w:val="18"/>
          <w:szCs w:val="18"/>
        </w:rPr>
        <w:t xml:space="preserve">Cloud hosting or web-based deployment; the current implementation runs as a local Python application against a configured </w:t>
      </w:r>
      <w:proofErr w:type="spellStart"/>
      <w:r w:rsidRPr="00645208">
        <w:rPr>
          <w:rFonts w:asciiTheme="minorHAnsi" w:hAnsiTheme="minorHAnsi" w:cstheme="minorHAnsi"/>
          <w:sz w:val="18"/>
          <w:szCs w:val="18"/>
        </w:rPr>
        <w:t>MySQL</w:t>
      </w:r>
      <w:proofErr w:type="spellEnd"/>
      <w:r w:rsidRPr="00645208">
        <w:rPr>
          <w:rFonts w:asciiTheme="minorHAnsi" w:hAnsiTheme="minorHAnsi" w:cstheme="minorHAnsi"/>
          <w:sz w:val="18"/>
          <w:szCs w:val="18"/>
        </w:rPr>
        <w:t xml:space="preserve"> database.</w:t>
      </w:r>
    </w:p>
    <w:p w:rsidR="00273A3F" w:rsidRPr="00645208" w:rsidRDefault="007B6EA9" w:rsidP="002B3ECA">
      <w:pPr>
        <w:pStyle w:val="ListParagraph"/>
        <w:numPr>
          <w:ilvl w:val="0"/>
          <w:numId w:val="2"/>
        </w:numPr>
        <w:spacing w:after="60" w:line="360" w:lineRule="auto"/>
        <w:jc w:val="both"/>
        <w:rPr>
          <w:rFonts w:asciiTheme="minorHAnsi" w:hAnsiTheme="minorHAnsi" w:cstheme="minorHAnsi"/>
          <w:sz w:val="18"/>
          <w:szCs w:val="18"/>
        </w:rPr>
      </w:pPr>
      <w:r w:rsidRPr="00645208">
        <w:rPr>
          <w:rFonts w:asciiTheme="minorHAnsi" w:hAnsiTheme="minorHAnsi" w:cstheme="minorHAnsi"/>
          <w:sz w:val="18"/>
          <w:szCs w:val="18"/>
        </w:rPr>
        <w:t xml:space="preserve">Automated corrective </w:t>
      </w:r>
      <w:r w:rsidR="00645208" w:rsidRPr="00645208">
        <w:rPr>
          <w:rFonts w:asciiTheme="minorHAnsi" w:hAnsiTheme="minorHAnsi" w:cstheme="minorHAnsi"/>
          <w:sz w:val="18"/>
          <w:szCs w:val="18"/>
        </w:rPr>
        <w:t>actions</w:t>
      </w:r>
      <w:r w:rsidRPr="00645208">
        <w:rPr>
          <w:rFonts w:asciiTheme="minorHAnsi" w:hAnsiTheme="minorHAnsi" w:cstheme="minorHAnsi"/>
          <w:sz w:val="18"/>
          <w:szCs w:val="18"/>
        </w:rPr>
        <w:t xml:space="preserve"> or staffing or budget changes generated from report findings.</w:t>
      </w:r>
    </w:p>
    <w:p w:rsidR="00273A3F" w:rsidRPr="00645208" w:rsidRDefault="002B3ECA" w:rsidP="002B3ECA">
      <w:pPr>
        <w:pStyle w:val="Heading2"/>
        <w:pBdr>
          <w:bottom w:val="single" w:sz="6" w:space="4" w:color="1F3864"/>
        </w:pBdr>
        <w:spacing w:before="200" w:after="90" w:line="360" w:lineRule="auto"/>
        <w:jc w:val="both"/>
        <w:rPr>
          <w:rFonts w:asciiTheme="minorHAnsi" w:hAnsiTheme="minorHAnsi" w:cstheme="minorHAnsi"/>
        </w:rPr>
      </w:pPr>
      <w:r>
        <w:rPr>
          <w:rFonts w:asciiTheme="minorHAnsi" w:hAnsiTheme="minorHAnsi" w:cstheme="minorHAnsi"/>
          <w:b/>
          <w:bCs/>
          <w:color w:val="1F3864"/>
          <w:sz w:val="25"/>
          <w:szCs w:val="25"/>
        </w:rPr>
        <w:t>7</w:t>
      </w:r>
      <w:r w:rsidR="007B6EA9" w:rsidRPr="00645208">
        <w:rPr>
          <w:rFonts w:asciiTheme="minorHAnsi" w:hAnsiTheme="minorHAnsi" w:cstheme="minorHAnsi"/>
          <w:b/>
          <w:bCs/>
          <w:color w:val="1F3864"/>
          <w:sz w:val="25"/>
          <w:szCs w:val="25"/>
        </w:rPr>
        <w:t>. Functional Requirements</w:t>
      </w:r>
    </w:p>
    <w:tbl>
      <w:tblPr>
        <w:tblW w:w="9380" w:type="dxa"/>
        <w:tblInd w:w="75"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000"/>
      </w:tblPr>
      <w:tblGrid>
        <w:gridCol w:w="680"/>
        <w:gridCol w:w="1450"/>
        <w:gridCol w:w="7250"/>
      </w:tblGrid>
      <w:tr w:rsidR="00273A3F" w:rsidRPr="00645208">
        <w:trPr>
          <w:tblHeader/>
        </w:trPr>
        <w:tc>
          <w:tcPr>
            <w:tcW w:w="680" w:type="dxa"/>
            <w:shd w:val="clear" w:color="auto" w:fill="1F3864"/>
            <w:tcMar>
              <w:top w:w="50" w:type="dxa"/>
              <w:left w:w="85" w:type="dxa"/>
              <w:bottom w:w="50" w:type="dxa"/>
              <w:right w:w="85" w:type="dxa"/>
            </w:tcMar>
          </w:tcPr>
          <w:p w:rsidR="00273A3F" w:rsidRPr="00645208" w:rsidRDefault="007B6EA9" w:rsidP="002B3ECA">
            <w:pPr>
              <w:spacing w:line="360" w:lineRule="auto"/>
              <w:jc w:val="both"/>
              <w:rPr>
                <w:rFonts w:asciiTheme="minorHAnsi" w:hAnsiTheme="minorHAnsi" w:cstheme="minorHAnsi"/>
              </w:rPr>
            </w:pPr>
            <w:r w:rsidRPr="00645208">
              <w:rPr>
                <w:rFonts w:asciiTheme="minorHAnsi" w:hAnsiTheme="minorHAnsi" w:cstheme="minorHAnsi"/>
                <w:b/>
                <w:bCs/>
                <w:color w:val="FFFFFF"/>
                <w:sz w:val="18"/>
                <w:szCs w:val="18"/>
              </w:rPr>
              <w:t>ID</w:t>
            </w:r>
          </w:p>
        </w:tc>
        <w:tc>
          <w:tcPr>
            <w:tcW w:w="1450" w:type="dxa"/>
            <w:shd w:val="clear" w:color="auto" w:fill="1F3864"/>
            <w:tcMar>
              <w:top w:w="50" w:type="dxa"/>
              <w:left w:w="85" w:type="dxa"/>
              <w:bottom w:w="50" w:type="dxa"/>
              <w:right w:w="85" w:type="dxa"/>
            </w:tcMar>
          </w:tcPr>
          <w:p w:rsidR="00273A3F" w:rsidRPr="00645208" w:rsidRDefault="007B6EA9" w:rsidP="002B3ECA">
            <w:pPr>
              <w:spacing w:line="360" w:lineRule="auto"/>
              <w:jc w:val="both"/>
              <w:rPr>
                <w:rFonts w:asciiTheme="minorHAnsi" w:hAnsiTheme="minorHAnsi" w:cstheme="minorHAnsi"/>
              </w:rPr>
            </w:pPr>
            <w:r w:rsidRPr="00645208">
              <w:rPr>
                <w:rFonts w:asciiTheme="minorHAnsi" w:hAnsiTheme="minorHAnsi" w:cstheme="minorHAnsi"/>
                <w:b/>
                <w:bCs/>
                <w:color w:val="FFFFFF"/>
                <w:sz w:val="18"/>
                <w:szCs w:val="18"/>
              </w:rPr>
              <w:t>Category</w:t>
            </w:r>
          </w:p>
        </w:tc>
        <w:tc>
          <w:tcPr>
            <w:tcW w:w="7250" w:type="dxa"/>
            <w:shd w:val="clear" w:color="auto" w:fill="1F3864"/>
            <w:tcMar>
              <w:top w:w="50" w:type="dxa"/>
              <w:left w:w="85" w:type="dxa"/>
              <w:bottom w:w="50" w:type="dxa"/>
              <w:right w:w="85" w:type="dxa"/>
            </w:tcMar>
          </w:tcPr>
          <w:p w:rsidR="00273A3F" w:rsidRPr="00645208" w:rsidRDefault="007B6EA9" w:rsidP="002B3ECA">
            <w:pPr>
              <w:spacing w:line="360" w:lineRule="auto"/>
              <w:jc w:val="both"/>
              <w:rPr>
                <w:rFonts w:asciiTheme="minorHAnsi" w:hAnsiTheme="minorHAnsi" w:cstheme="minorHAnsi"/>
              </w:rPr>
            </w:pPr>
            <w:r w:rsidRPr="00645208">
              <w:rPr>
                <w:rFonts w:asciiTheme="minorHAnsi" w:hAnsiTheme="minorHAnsi" w:cstheme="minorHAnsi"/>
                <w:b/>
                <w:bCs/>
                <w:color w:val="FFFFFF"/>
                <w:sz w:val="18"/>
                <w:szCs w:val="18"/>
              </w:rPr>
              <w:t>Requirement</w:t>
            </w:r>
          </w:p>
        </w:tc>
      </w:tr>
      <w:tr w:rsidR="00273A3F" w:rsidRPr="00645208">
        <w:tc>
          <w:tcPr>
            <w:tcW w:w="680" w:type="dxa"/>
            <w:tcMar>
              <w:top w:w="50" w:type="dxa"/>
              <w:left w:w="85" w:type="dxa"/>
              <w:bottom w:w="50" w:type="dxa"/>
              <w:right w:w="85" w:type="dxa"/>
            </w:tcMar>
          </w:tcPr>
          <w:p w:rsidR="00273A3F" w:rsidRPr="00645208" w:rsidRDefault="007B6EA9" w:rsidP="002B3ECA">
            <w:pPr>
              <w:spacing w:line="360" w:lineRule="auto"/>
              <w:jc w:val="both"/>
              <w:rPr>
                <w:rFonts w:asciiTheme="minorHAnsi" w:hAnsiTheme="minorHAnsi" w:cstheme="minorHAnsi"/>
              </w:rPr>
            </w:pPr>
            <w:r w:rsidRPr="00645208">
              <w:rPr>
                <w:rFonts w:asciiTheme="minorHAnsi" w:hAnsiTheme="minorHAnsi" w:cstheme="minorHAnsi"/>
                <w:sz w:val="18"/>
                <w:szCs w:val="18"/>
              </w:rPr>
              <w:t>FR-1</w:t>
            </w:r>
          </w:p>
        </w:tc>
        <w:tc>
          <w:tcPr>
            <w:tcW w:w="1450" w:type="dxa"/>
            <w:tcMar>
              <w:top w:w="50" w:type="dxa"/>
              <w:left w:w="85" w:type="dxa"/>
              <w:bottom w:w="50" w:type="dxa"/>
              <w:right w:w="85" w:type="dxa"/>
            </w:tcMar>
          </w:tcPr>
          <w:p w:rsidR="00273A3F" w:rsidRPr="00645208" w:rsidRDefault="007B6EA9" w:rsidP="002B3ECA">
            <w:pPr>
              <w:spacing w:line="360" w:lineRule="auto"/>
              <w:jc w:val="both"/>
              <w:rPr>
                <w:rFonts w:asciiTheme="minorHAnsi" w:hAnsiTheme="minorHAnsi" w:cstheme="minorHAnsi"/>
              </w:rPr>
            </w:pPr>
            <w:r w:rsidRPr="00645208">
              <w:rPr>
                <w:rFonts w:asciiTheme="minorHAnsi" w:hAnsiTheme="minorHAnsi" w:cstheme="minorHAnsi"/>
                <w:sz w:val="18"/>
                <w:szCs w:val="18"/>
              </w:rPr>
              <w:t>KPI Engine</w:t>
            </w:r>
          </w:p>
        </w:tc>
        <w:tc>
          <w:tcPr>
            <w:tcW w:w="7250" w:type="dxa"/>
            <w:tcMar>
              <w:top w:w="50" w:type="dxa"/>
              <w:left w:w="85" w:type="dxa"/>
              <w:bottom w:w="50" w:type="dxa"/>
              <w:right w:w="85" w:type="dxa"/>
            </w:tcMar>
          </w:tcPr>
          <w:p w:rsidR="00273A3F" w:rsidRPr="00645208" w:rsidRDefault="007B6EA9" w:rsidP="002B3ECA">
            <w:pPr>
              <w:spacing w:line="360" w:lineRule="auto"/>
              <w:jc w:val="both"/>
              <w:rPr>
                <w:rFonts w:asciiTheme="minorHAnsi" w:hAnsiTheme="minorHAnsi" w:cstheme="minorHAnsi"/>
              </w:rPr>
            </w:pPr>
            <w:r w:rsidRPr="00645208">
              <w:rPr>
                <w:rFonts w:asciiTheme="minorHAnsi" w:hAnsiTheme="minorHAnsi" w:cstheme="minorHAnsi"/>
                <w:sz w:val="18"/>
                <w:szCs w:val="18"/>
              </w:rPr>
              <w:t xml:space="preserve">Calculate all configured KPIs via SQL aggregation against each project's configured database view (for example, </w:t>
            </w:r>
            <w:proofErr w:type="spellStart"/>
            <w:r w:rsidRPr="00645208">
              <w:rPr>
                <w:rFonts w:asciiTheme="minorHAnsi" w:eastAsia="Consolas" w:hAnsiTheme="minorHAnsi" w:cstheme="minorHAnsi"/>
                <w:sz w:val="17"/>
                <w:szCs w:val="17"/>
              </w:rPr>
              <w:t>vw_sales_flat</w:t>
            </w:r>
            <w:proofErr w:type="spellEnd"/>
            <w:r w:rsidRPr="00645208">
              <w:rPr>
                <w:rFonts w:asciiTheme="minorHAnsi" w:hAnsiTheme="minorHAnsi" w:cstheme="minorHAnsi"/>
                <w:sz w:val="18"/>
                <w:szCs w:val="18"/>
              </w:rPr>
              <w:t xml:space="preserve"> for the retail configuration).</w:t>
            </w:r>
          </w:p>
        </w:tc>
      </w:tr>
      <w:tr w:rsidR="00273A3F" w:rsidRPr="00645208">
        <w:tc>
          <w:tcPr>
            <w:tcW w:w="680" w:type="dxa"/>
            <w:tcMar>
              <w:top w:w="50" w:type="dxa"/>
              <w:left w:w="85" w:type="dxa"/>
              <w:bottom w:w="50" w:type="dxa"/>
              <w:right w:w="85" w:type="dxa"/>
            </w:tcMar>
          </w:tcPr>
          <w:p w:rsidR="00273A3F" w:rsidRPr="00645208" w:rsidRDefault="007B6EA9" w:rsidP="002B3ECA">
            <w:pPr>
              <w:spacing w:line="360" w:lineRule="auto"/>
              <w:jc w:val="both"/>
              <w:rPr>
                <w:rFonts w:asciiTheme="minorHAnsi" w:hAnsiTheme="minorHAnsi" w:cstheme="minorHAnsi"/>
              </w:rPr>
            </w:pPr>
            <w:r w:rsidRPr="00645208">
              <w:rPr>
                <w:rFonts w:asciiTheme="minorHAnsi" w:hAnsiTheme="minorHAnsi" w:cstheme="minorHAnsi"/>
                <w:sz w:val="18"/>
                <w:szCs w:val="18"/>
              </w:rPr>
              <w:t>FR-2</w:t>
            </w:r>
          </w:p>
        </w:tc>
        <w:tc>
          <w:tcPr>
            <w:tcW w:w="1450" w:type="dxa"/>
            <w:tcMar>
              <w:top w:w="50" w:type="dxa"/>
              <w:left w:w="85" w:type="dxa"/>
              <w:bottom w:w="50" w:type="dxa"/>
              <w:right w:w="85" w:type="dxa"/>
            </w:tcMar>
          </w:tcPr>
          <w:p w:rsidR="00273A3F" w:rsidRPr="00645208" w:rsidRDefault="007B6EA9" w:rsidP="002B3ECA">
            <w:pPr>
              <w:spacing w:line="360" w:lineRule="auto"/>
              <w:jc w:val="both"/>
              <w:rPr>
                <w:rFonts w:asciiTheme="minorHAnsi" w:hAnsiTheme="minorHAnsi" w:cstheme="minorHAnsi"/>
              </w:rPr>
            </w:pPr>
            <w:r w:rsidRPr="00645208">
              <w:rPr>
                <w:rFonts w:asciiTheme="minorHAnsi" w:hAnsiTheme="minorHAnsi" w:cstheme="minorHAnsi"/>
                <w:sz w:val="18"/>
                <w:szCs w:val="18"/>
              </w:rPr>
              <w:t>KPI Engine</w:t>
            </w:r>
          </w:p>
        </w:tc>
        <w:tc>
          <w:tcPr>
            <w:tcW w:w="7250" w:type="dxa"/>
            <w:tcMar>
              <w:top w:w="50" w:type="dxa"/>
              <w:left w:w="85" w:type="dxa"/>
              <w:bottom w:w="50" w:type="dxa"/>
              <w:right w:w="85" w:type="dxa"/>
            </w:tcMar>
          </w:tcPr>
          <w:p w:rsidR="00273A3F" w:rsidRPr="00645208" w:rsidRDefault="007B6EA9" w:rsidP="002B3ECA">
            <w:pPr>
              <w:spacing w:line="360" w:lineRule="auto"/>
              <w:jc w:val="both"/>
              <w:rPr>
                <w:rFonts w:asciiTheme="minorHAnsi" w:hAnsiTheme="minorHAnsi" w:cstheme="minorHAnsi"/>
              </w:rPr>
            </w:pPr>
            <w:r w:rsidRPr="00645208">
              <w:rPr>
                <w:rFonts w:asciiTheme="minorHAnsi" w:hAnsiTheme="minorHAnsi" w:cstheme="minorHAnsi"/>
                <w:sz w:val="18"/>
                <w:szCs w:val="18"/>
              </w:rPr>
              <w:t>Compute calculated KPIs, such as profit margin and average order value, from configuration-defined formulas rather than hard-coded logic.</w:t>
            </w:r>
          </w:p>
        </w:tc>
      </w:tr>
      <w:tr w:rsidR="00273A3F" w:rsidRPr="00645208">
        <w:tc>
          <w:tcPr>
            <w:tcW w:w="680" w:type="dxa"/>
            <w:tcMar>
              <w:top w:w="50" w:type="dxa"/>
              <w:left w:w="85" w:type="dxa"/>
              <w:bottom w:w="50" w:type="dxa"/>
              <w:right w:w="85" w:type="dxa"/>
            </w:tcMar>
          </w:tcPr>
          <w:p w:rsidR="00273A3F" w:rsidRPr="00645208" w:rsidRDefault="007B6EA9" w:rsidP="002B3ECA">
            <w:pPr>
              <w:spacing w:line="360" w:lineRule="auto"/>
              <w:jc w:val="both"/>
              <w:rPr>
                <w:rFonts w:asciiTheme="minorHAnsi" w:hAnsiTheme="minorHAnsi" w:cstheme="minorHAnsi"/>
              </w:rPr>
            </w:pPr>
            <w:r w:rsidRPr="00645208">
              <w:rPr>
                <w:rFonts w:asciiTheme="minorHAnsi" w:hAnsiTheme="minorHAnsi" w:cstheme="minorHAnsi"/>
                <w:sz w:val="18"/>
                <w:szCs w:val="18"/>
              </w:rPr>
              <w:t>FR-3</w:t>
            </w:r>
          </w:p>
        </w:tc>
        <w:tc>
          <w:tcPr>
            <w:tcW w:w="1450" w:type="dxa"/>
            <w:tcMar>
              <w:top w:w="50" w:type="dxa"/>
              <w:left w:w="85" w:type="dxa"/>
              <w:bottom w:w="50" w:type="dxa"/>
              <w:right w:w="85" w:type="dxa"/>
            </w:tcMar>
          </w:tcPr>
          <w:p w:rsidR="00273A3F" w:rsidRPr="00645208" w:rsidRDefault="007B6EA9" w:rsidP="002B3ECA">
            <w:pPr>
              <w:spacing w:line="360" w:lineRule="auto"/>
              <w:jc w:val="both"/>
              <w:rPr>
                <w:rFonts w:asciiTheme="minorHAnsi" w:hAnsiTheme="minorHAnsi" w:cstheme="minorHAnsi"/>
              </w:rPr>
            </w:pPr>
            <w:r w:rsidRPr="00645208">
              <w:rPr>
                <w:rFonts w:asciiTheme="minorHAnsi" w:hAnsiTheme="minorHAnsi" w:cstheme="minorHAnsi"/>
                <w:sz w:val="18"/>
                <w:szCs w:val="18"/>
              </w:rPr>
              <w:t>KPI Engine</w:t>
            </w:r>
          </w:p>
        </w:tc>
        <w:tc>
          <w:tcPr>
            <w:tcW w:w="7250" w:type="dxa"/>
            <w:tcMar>
              <w:top w:w="50" w:type="dxa"/>
              <w:left w:w="85" w:type="dxa"/>
              <w:bottom w:w="50" w:type="dxa"/>
              <w:right w:w="85" w:type="dxa"/>
            </w:tcMar>
          </w:tcPr>
          <w:p w:rsidR="00273A3F" w:rsidRPr="00645208" w:rsidRDefault="007B6EA9" w:rsidP="002B3ECA">
            <w:pPr>
              <w:spacing w:line="360" w:lineRule="auto"/>
              <w:jc w:val="both"/>
              <w:rPr>
                <w:rFonts w:asciiTheme="minorHAnsi" w:hAnsiTheme="minorHAnsi" w:cstheme="minorHAnsi"/>
              </w:rPr>
            </w:pPr>
            <w:r w:rsidRPr="00645208">
              <w:rPr>
                <w:rFonts w:asciiTheme="minorHAnsi" w:hAnsiTheme="minorHAnsi" w:cstheme="minorHAnsi"/>
                <w:sz w:val="18"/>
                <w:szCs w:val="18"/>
              </w:rPr>
              <w:t>Classify a KPI's status as Good, Warning, or Critical only when thresholds are defined in configuration; report all other KPIs as Descriptive.</w:t>
            </w:r>
          </w:p>
        </w:tc>
      </w:tr>
      <w:tr w:rsidR="00273A3F" w:rsidRPr="00645208">
        <w:tc>
          <w:tcPr>
            <w:tcW w:w="680" w:type="dxa"/>
            <w:tcMar>
              <w:top w:w="50" w:type="dxa"/>
              <w:left w:w="85" w:type="dxa"/>
              <w:bottom w:w="50" w:type="dxa"/>
              <w:right w:w="85" w:type="dxa"/>
            </w:tcMar>
          </w:tcPr>
          <w:p w:rsidR="00273A3F" w:rsidRPr="00645208" w:rsidRDefault="007B6EA9" w:rsidP="002B3ECA">
            <w:pPr>
              <w:spacing w:line="360" w:lineRule="auto"/>
              <w:jc w:val="both"/>
              <w:rPr>
                <w:rFonts w:asciiTheme="minorHAnsi" w:hAnsiTheme="minorHAnsi" w:cstheme="minorHAnsi"/>
              </w:rPr>
            </w:pPr>
            <w:r w:rsidRPr="00645208">
              <w:rPr>
                <w:rFonts w:asciiTheme="minorHAnsi" w:hAnsiTheme="minorHAnsi" w:cstheme="minorHAnsi"/>
                <w:sz w:val="18"/>
                <w:szCs w:val="18"/>
              </w:rPr>
              <w:t>FR-4</w:t>
            </w:r>
          </w:p>
        </w:tc>
        <w:tc>
          <w:tcPr>
            <w:tcW w:w="1450" w:type="dxa"/>
            <w:tcMar>
              <w:top w:w="50" w:type="dxa"/>
              <w:left w:w="85" w:type="dxa"/>
              <w:bottom w:w="50" w:type="dxa"/>
              <w:right w:w="85" w:type="dxa"/>
            </w:tcMar>
          </w:tcPr>
          <w:p w:rsidR="00273A3F" w:rsidRPr="00645208" w:rsidRDefault="007B6EA9" w:rsidP="002B3ECA">
            <w:pPr>
              <w:spacing w:line="360" w:lineRule="auto"/>
              <w:jc w:val="both"/>
              <w:rPr>
                <w:rFonts w:asciiTheme="minorHAnsi" w:hAnsiTheme="minorHAnsi" w:cstheme="minorHAnsi"/>
              </w:rPr>
            </w:pPr>
            <w:r w:rsidRPr="00645208">
              <w:rPr>
                <w:rFonts w:asciiTheme="minorHAnsi" w:hAnsiTheme="minorHAnsi" w:cstheme="minorHAnsi"/>
                <w:sz w:val="18"/>
                <w:szCs w:val="18"/>
              </w:rPr>
              <w:t>Interpretation</w:t>
            </w:r>
          </w:p>
        </w:tc>
        <w:tc>
          <w:tcPr>
            <w:tcW w:w="7250" w:type="dxa"/>
            <w:tcMar>
              <w:top w:w="50" w:type="dxa"/>
              <w:left w:w="85" w:type="dxa"/>
              <w:bottom w:w="50" w:type="dxa"/>
              <w:right w:w="85" w:type="dxa"/>
            </w:tcMar>
          </w:tcPr>
          <w:p w:rsidR="00273A3F" w:rsidRPr="00645208" w:rsidRDefault="007B6EA9" w:rsidP="002B3ECA">
            <w:pPr>
              <w:spacing w:line="360" w:lineRule="auto"/>
              <w:jc w:val="both"/>
              <w:rPr>
                <w:rFonts w:asciiTheme="minorHAnsi" w:hAnsiTheme="minorHAnsi" w:cstheme="minorHAnsi"/>
              </w:rPr>
            </w:pPr>
            <w:r w:rsidRPr="00645208">
              <w:rPr>
                <w:rFonts w:asciiTheme="minorHAnsi" w:hAnsiTheme="minorHAnsi" w:cstheme="minorHAnsi"/>
                <w:sz w:val="18"/>
                <w:szCs w:val="18"/>
              </w:rPr>
              <w:t>Generate a deterministic business meaning and interpretation for every calculated KPI.</w:t>
            </w:r>
          </w:p>
        </w:tc>
      </w:tr>
      <w:tr w:rsidR="00273A3F" w:rsidRPr="00645208">
        <w:tc>
          <w:tcPr>
            <w:tcW w:w="680" w:type="dxa"/>
            <w:tcMar>
              <w:top w:w="50" w:type="dxa"/>
              <w:left w:w="85" w:type="dxa"/>
              <w:bottom w:w="50" w:type="dxa"/>
              <w:right w:w="85" w:type="dxa"/>
            </w:tcMar>
          </w:tcPr>
          <w:p w:rsidR="00273A3F" w:rsidRPr="00645208" w:rsidRDefault="007B6EA9" w:rsidP="002B3ECA">
            <w:pPr>
              <w:spacing w:line="360" w:lineRule="auto"/>
              <w:jc w:val="both"/>
              <w:rPr>
                <w:rFonts w:asciiTheme="minorHAnsi" w:hAnsiTheme="minorHAnsi" w:cstheme="minorHAnsi"/>
              </w:rPr>
            </w:pPr>
            <w:r w:rsidRPr="00645208">
              <w:rPr>
                <w:rFonts w:asciiTheme="minorHAnsi" w:hAnsiTheme="minorHAnsi" w:cstheme="minorHAnsi"/>
                <w:sz w:val="18"/>
                <w:szCs w:val="18"/>
              </w:rPr>
              <w:t>FR-5</w:t>
            </w:r>
          </w:p>
        </w:tc>
        <w:tc>
          <w:tcPr>
            <w:tcW w:w="1450" w:type="dxa"/>
            <w:tcMar>
              <w:top w:w="50" w:type="dxa"/>
              <w:left w:w="85" w:type="dxa"/>
              <w:bottom w:w="50" w:type="dxa"/>
              <w:right w:w="85" w:type="dxa"/>
            </w:tcMar>
          </w:tcPr>
          <w:p w:rsidR="00273A3F" w:rsidRPr="00645208" w:rsidRDefault="007B6EA9" w:rsidP="002B3ECA">
            <w:pPr>
              <w:spacing w:line="360" w:lineRule="auto"/>
              <w:jc w:val="both"/>
              <w:rPr>
                <w:rFonts w:asciiTheme="minorHAnsi" w:hAnsiTheme="minorHAnsi" w:cstheme="minorHAnsi"/>
              </w:rPr>
            </w:pPr>
            <w:r w:rsidRPr="00645208">
              <w:rPr>
                <w:rFonts w:asciiTheme="minorHAnsi" w:hAnsiTheme="minorHAnsi" w:cstheme="minorHAnsi"/>
                <w:sz w:val="18"/>
                <w:szCs w:val="18"/>
              </w:rPr>
              <w:t>Interpretation</w:t>
            </w:r>
          </w:p>
        </w:tc>
        <w:tc>
          <w:tcPr>
            <w:tcW w:w="7250" w:type="dxa"/>
            <w:tcMar>
              <w:top w:w="50" w:type="dxa"/>
              <w:left w:w="85" w:type="dxa"/>
              <w:bottom w:w="50" w:type="dxa"/>
              <w:right w:w="85" w:type="dxa"/>
            </w:tcMar>
          </w:tcPr>
          <w:p w:rsidR="00273A3F" w:rsidRPr="00645208" w:rsidRDefault="007B6EA9" w:rsidP="002B3ECA">
            <w:pPr>
              <w:spacing w:line="360" w:lineRule="auto"/>
              <w:jc w:val="both"/>
              <w:rPr>
                <w:rFonts w:asciiTheme="minorHAnsi" w:hAnsiTheme="minorHAnsi" w:cstheme="minorHAnsi"/>
              </w:rPr>
            </w:pPr>
            <w:r w:rsidRPr="00645208">
              <w:rPr>
                <w:rFonts w:asciiTheme="minorHAnsi" w:hAnsiTheme="minorHAnsi" w:cstheme="minorHAnsi"/>
                <w:sz w:val="18"/>
                <w:szCs w:val="18"/>
              </w:rPr>
              <w:t>Generate deterministic diagnostic rankings for configured dimensions, such as market, category, subcategory, and ship mode.</w:t>
            </w:r>
          </w:p>
        </w:tc>
      </w:tr>
      <w:tr w:rsidR="00273A3F" w:rsidRPr="00645208">
        <w:tc>
          <w:tcPr>
            <w:tcW w:w="680" w:type="dxa"/>
            <w:tcMar>
              <w:top w:w="50" w:type="dxa"/>
              <w:left w:w="85" w:type="dxa"/>
              <w:bottom w:w="50" w:type="dxa"/>
              <w:right w:w="85" w:type="dxa"/>
            </w:tcMar>
          </w:tcPr>
          <w:p w:rsidR="00273A3F" w:rsidRPr="00645208" w:rsidRDefault="007B6EA9" w:rsidP="002B3ECA">
            <w:pPr>
              <w:spacing w:line="360" w:lineRule="auto"/>
              <w:jc w:val="both"/>
              <w:rPr>
                <w:rFonts w:asciiTheme="minorHAnsi" w:hAnsiTheme="minorHAnsi" w:cstheme="minorHAnsi"/>
              </w:rPr>
            </w:pPr>
            <w:r w:rsidRPr="00645208">
              <w:rPr>
                <w:rFonts w:asciiTheme="minorHAnsi" w:hAnsiTheme="minorHAnsi" w:cstheme="minorHAnsi"/>
                <w:sz w:val="18"/>
                <w:szCs w:val="18"/>
              </w:rPr>
              <w:t>FR-6</w:t>
            </w:r>
          </w:p>
        </w:tc>
        <w:tc>
          <w:tcPr>
            <w:tcW w:w="1450" w:type="dxa"/>
            <w:tcMar>
              <w:top w:w="50" w:type="dxa"/>
              <w:left w:w="85" w:type="dxa"/>
              <w:bottom w:w="50" w:type="dxa"/>
              <w:right w:w="85" w:type="dxa"/>
            </w:tcMar>
          </w:tcPr>
          <w:p w:rsidR="00273A3F" w:rsidRPr="00645208" w:rsidRDefault="007B6EA9" w:rsidP="002B3ECA">
            <w:pPr>
              <w:spacing w:line="360" w:lineRule="auto"/>
              <w:jc w:val="both"/>
              <w:rPr>
                <w:rFonts w:asciiTheme="minorHAnsi" w:hAnsiTheme="minorHAnsi" w:cstheme="minorHAnsi"/>
              </w:rPr>
            </w:pPr>
            <w:r w:rsidRPr="00645208">
              <w:rPr>
                <w:rFonts w:asciiTheme="minorHAnsi" w:hAnsiTheme="minorHAnsi" w:cstheme="minorHAnsi"/>
                <w:sz w:val="18"/>
                <w:szCs w:val="18"/>
              </w:rPr>
              <w:t>Interpretation</w:t>
            </w:r>
          </w:p>
        </w:tc>
        <w:tc>
          <w:tcPr>
            <w:tcW w:w="7250" w:type="dxa"/>
            <w:tcMar>
              <w:top w:w="50" w:type="dxa"/>
              <w:left w:w="85" w:type="dxa"/>
              <w:bottom w:w="50" w:type="dxa"/>
              <w:right w:w="85" w:type="dxa"/>
            </w:tcMar>
          </w:tcPr>
          <w:p w:rsidR="00273A3F" w:rsidRPr="00645208" w:rsidRDefault="007B6EA9" w:rsidP="002B3ECA">
            <w:pPr>
              <w:spacing w:line="360" w:lineRule="auto"/>
              <w:jc w:val="both"/>
              <w:rPr>
                <w:rFonts w:asciiTheme="minorHAnsi" w:hAnsiTheme="minorHAnsi" w:cstheme="minorHAnsi"/>
              </w:rPr>
            </w:pPr>
            <w:r w:rsidRPr="00645208">
              <w:rPr>
                <w:rFonts w:asciiTheme="minorHAnsi" w:hAnsiTheme="minorHAnsi" w:cstheme="minorHAnsi"/>
                <w:sz w:val="18"/>
                <w:szCs w:val="18"/>
              </w:rPr>
              <w:t>Generate a period-over-period comparison — window, current value, previous value, percentage change, and direction — only where comparison logic is explicitly configured for a KPI.</w:t>
            </w:r>
          </w:p>
        </w:tc>
      </w:tr>
      <w:tr w:rsidR="00273A3F" w:rsidRPr="00645208">
        <w:tc>
          <w:tcPr>
            <w:tcW w:w="680" w:type="dxa"/>
            <w:tcMar>
              <w:top w:w="50" w:type="dxa"/>
              <w:left w:w="85" w:type="dxa"/>
              <w:bottom w:w="50" w:type="dxa"/>
              <w:right w:w="85" w:type="dxa"/>
            </w:tcMar>
          </w:tcPr>
          <w:p w:rsidR="00273A3F" w:rsidRPr="00645208" w:rsidRDefault="007B6EA9" w:rsidP="002B3ECA">
            <w:pPr>
              <w:spacing w:line="360" w:lineRule="auto"/>
              <w:jc w:val="both"/>
              <w:rPr>
                <w:rFonts w:asciiTheme="minorHAnsi" w:hAnsiTheme="minorHAnsi" w:cstheme="minorHAnsi"/>
              </w:rPr>
            </w:pPr>
            <w:r w:rsidRPr="00645208">
              <w:rPr>
                <w:rFonts w:asciiTheme="minorHAnsi" w:hAnsiTheme="minorHAnsi" w:cstheme="minorHAnsi"/>
                <w:sz w:val="18"/>
                <w:szCs w:val="18"/>
              </w:rPr>
              <w:t>FR-7</w:t>
            </w:r>
          </w:p>
        </w:tc>
        <w:tc>
          <w:tcPr>
            <w:tcW w:w="1450" w:type="dxa"/>
            <w:tcMar>
              <w:top w:w="50" w:type="dxa"/>
              <w:left w:w="85" w:type="dxa"/>
              <w:bottom w:w="50" w:type="dxa"/>
              <w:right w:w="85" w:type="dxa"/>
            </w:tcMar>
          </w:tcPr>
          <w:p w:rsidR="00273A3F" w:rsidRPr="00645208" w:rsidRDefault="007B6EA9" w:rsidP="002B3ECA">
            <w:pPr>
              <w:spacing w:line="360" w:lineRule="auto"/>
              <w:jc w:val="both"/>
              <w:rPr>
                <w:rFonts w:asciiTheme="minorHAnsi" w:hAnsiTheme="minorHAnsi" w:cstheme="minorHAnsi"/>
              </w:rPr>
            </w:pPr>
            <w:r w:rsidRPr="00645208">
              <w:rPr>
                <w:rFonts w:asciiTheme="minorHAnsi" w:hAnsiTheme="minorHAnsi" w:cstheme="minorHAnsi"/>
                <w:sz w:val="18"/>
                <w:szCs w:val="18"/>
              </w:rPr>
              <w:t>Interpretation</w:t>
            </w:r>
          </w:p>
        </w:tc>
        <w:tc>
          <w:tcPr>
            <w:tcW w:w="7250" w:type="dxa"/>
            <w:tcMar>
              <w:top w:w="50" w:type="dxa"/>
              <w:left w:w="85" w:type="dxa"/>
              <w:bottom w:w="50" w:type="dxa"/>
              <w:right w:w="85" w:type="dxa"/>
            </w:tcMar>
          </w:tcPr>
          <w:p w:rsidR="00273A3F" w:rsidRPr="00645208" w:rsidRDefault="007B6EA9" w:rsidP="002B3ECA">
            <w:pPr>
              <w:spacing w:line="360" w:lineRule="auto"/>
              <w:jc w:val="both"/>
              <w:rPr>
                <w:rFonts w:asciiTheme="minorHAnsi" w:hAnsiTheme="minorHAnsi" w:cstheme="minorHAnsi"/>
              </w:rPr>
            </w:pPr>
            <w:r w:rsidRPr="00645208">
              <w:rPr>
                <w:rFonts w:asciiTheme="minorHAnsi" w:hAnsiTheme="minorHAnsi" w:cstheme="minorHAnsi"/>
                <w:sz w:val="18"/>
                <w:szCs w:val="18"/>
              </w:rPr>
              <w:t>Raise an explicit error when no interpretation rule exists for a requested metric, rather than returning an unverified result.</w:t>
            </w:r>
          </w:p>
        </w:tc>
      </w:tr>
      <w:tr w:rsidR="00273A3F" w:rsidRPr="00645208">
        <w:tc>
          <w:tcPr>
            <w:tcW w:w="680" w:type="dxa"/>
            <w:tcMar>
              <w:top w:w="50" w:type="dxa"/>
              <w:left w:w="85" w:type="dxa"/>
              <w:bottom w:w="50" w:type="dxa"/>
              <w:right w:w="85" w:type="dxa"/>
            </w:tcMar>
          </w:tcPr>
          <w:p w:rsidR="00273A3F" w:rsidRPr="00645208" w:rsidRDefault="007B6EA9" w:rsidP="002B3ECA">
            <w:pPr>
              <w:spacing w:line="360" w:lineRule="auto"/>
              <w:jc w:val="both"/>
              <w:rPr>
                <w:rFonts w:asciiTheme="minorHAnsi" w:hAnsiTheme="minorHAnsi" w:cstheme="minorHAnsi"/>
              </w:rPr>
            </w:pPr>
            <w:r w:rsidRPr="00645208">
              <w:rPr>
                <w:rFonts w:asciiTheme="minorHAnsi" w:hAnsiTheme="minorHAnsi" w:cstheme="minorHAnsi"/>
                <w:sz w:val="18"/>
                <w:szCs w:val="18"/>
              </w:rPr>
              <w:t>FR-8</w:t>
            </w:r>
          </w:p>
        </w:tc>
        <w:tc>
          <w:tcPr>
            <w:tcW w:w="1450" w:type="dxa"/>
            <w:tcMar>
              <w:top w:w="50" w:type="dxa"/>
              <w:left w:w="85" w:type="dxa"/>
              <w:bottom w:w="50" w:type="dxa"/>
              <w:right w:w="85" w:type="dxa"/>
            </w:tcMar>
          </w:tcPr>
          <w:p w:rsidR="00273A3F" w:rsidRPr="00645208" w:rsidRDefault="007B6EA9" w:rsidP="002B3ECA">
            <w:pPr>
              <w:spacing w:line="360" w:lineRule="auto"/>
              <w:jc w:val="both"/>
              <w:rPr>
                <w:rFonts w:asciiTheme="minorHAnsi" w:hAnsiTheme="minorHAnsi" w:cstheme="minorHAnsi"/>
              </w:rPr>
            </w:pPr>
            <w:r w:rsidRPr="00645208">
              <w:rPr>
                <w:rFonts w:asciiTheme="minorHAnsi" w:hAnsiTheme="minorHAnsi" w:cstheme="minorHAnsi"/>
                <w:sz w:val="18"/>
                <w:szCs w:val="18"/>
              </w:rPr>
              <w:t>Narration</w:t>
            </w:r>
          </w:p>
        </w:tc>
        <w:tc>
          <w:tcPr>
            <w:tcW w:w="7250" w:type="dxa"/>
            <w:tcMar>
              <w:top w:w="50" w:type="dxa"/>
              <w:left w:w="85" w:type="dxa"/>
              <w:bottom w:w="50" w:type="dxa"/>
              <w:right w:w="85" w:type="dxa"/>
            </w:tcMar>
          </w:tcPr>
          <w:p w:rsidR="00273A3F" w:rsidRPr="00645208" w:rsidRDefault="007B6EA9" w:rsidP="002B3ECA">
            <w:pPr>
              <w:spacing w:line="360" w:lineRule="auto"/>
              <w:jc w:val="both"/>
              <w:rPr>
                <w:rFonts w:asciiTheme="minorHAnsi" w:hAnsiTheme="minorHAnsi" w:cstheme="minorHAnsi"/>
              </w:rPr>
            </w:pPr>
            <w:r w:rsidRPr="00645208">
              <w:rPr>
                <w:rFonts w:asciiTheme="minorHAnsi" w:hAnsiTheme="minorHAnsi" w:cstheme="minorHAnsi"/>
                <w:sz w:val="18"/>
                <w:szCs w:val="18"/>
              </w:rPr>
              <w:t>Generate executive narrative exclusively from findings supplied by the KPI Engine and Business Interpretation Layer.</w:t>
            </w:r>
          </w:p>
        </w:tc>
      </w:tr>
      <w:tr w:rsidR="00273A3F" w:rsidRPr="00645208">
        <w:tc>
          <w:tcPr>
            <w:tcW w:w="680" w:type="dxa"/>
            <w:tcMar>
              <w:top w:w="50" w:type="dxa"/>
              <w:left w:w="85" w:type="dxa"/>
              <w:bottom w:w="50" w:type="dxa"/>
              <w:right w:w="85" w:type="dxa"/>
            </w:tcMar>
          </w:tcPr>
          <w:p w:rsidR="00273A3F" w:rsidRPr="00645208" w:rsidRDefault="007B6EA9" w:rsidP="002B3ECA">
            <w:pPr>
              <w:spacing w:line="360" w:lineRule="auto"/>
              <w:jc w:val="both"/>
              <w:rPr>
                <w:rFonts w:asciiTheme="minorHAnsi" w:hAnsiTheme="minorHAnsi" w:cstheme="minorHAnsi"/>
              </w:rPr>
            </w:pPr>
            <w:r w:rsidRPr="00645208">
              <w:rPr>
                <w:rFonts w:asciiTheme="minorHAnsi" w:hAnsiTheme="minorHAnsi" w:cstheme="minorHAnsi"/>
                <w:sz w:val="18"/>
                <w:szCs w:val="18"/>
              </w:rPr>
              <w:t>FR-9</w:t>
            </w:r>
          </w:p>
        </w:tc>
        <w:tc>
          <w:tcPr>
            <w:tcW w:w="1450" w:type="dxa"/>
            <w:tcMar>
              <w:top w:w="50" w:type="dxa"/>
              <w:left w:w="85" w:type="dxa"/>
              <w:bottom w:w="50" w:type="dxa"/>
              <w:right w:w="85" w:type="dxa"/>
            </w:tcMar>
          </w:tcPr>
          <w:p w:rsidR="00273A3F" w:rsidRPr="00645208" w:rsidRDefault="007B6EA9" w:rsidP="002B3ECA">
            <w:pPr>
              <w:spacing w:line="360" w:lineRule="auto"/>
              <w:jc w:val="both"/>
              <w:rPr>
                <w:rFonts w:asciiTheme="minorHAnsi" w:hAnsiTheme="minorHAnsi" w:cstheme="minorHAnsi"/>
              </w:rPr>
            </w:pPr>
            <w:r w:rsidRPr="00645208">
              <w:rPr>
                <w:rFonts w:asciiTheme="minorHAnsi" w:hAnsiTheme="minorHAnsi" w:cstheme="minorHAnsi"/>
                <w:sz w:val="18"/>
                <w:szCs w:val="18"/>
              </w:rPr>
              <w:t>Narration</w:t>
            </w:r>
          </w:p>
        </w:tc>
        <w:tc>
          <w:tcPr>
            <w:tcW w:w="7250" w:type="dxa"/>
            <w:tcMar>
              <w:top w:w="50" w:type="dxa"/>
              <w:left w:w="85" w:type="dxa"/>
              <w:bottom w:w="50" w:type="dxa"/>
              <w:right w:w="85" w:type="dxa"/>
            </w:tcMar>
          </w:tcPr>
          <w:p w:rsidR="00273A3F" w:rsidRPr="00645208" w:rsidRDefault="007B6EA9" w:rsidP="002B3ECA">
            <w:pPr>
              <w:spacing w:line="360" w:lineRule="auto"/>
              <w:jc w:val="both"/>
              <w:rPr>
                <w:rFonts w:asciiTheme="minorHAnsi" w:hAnsiTheme="minorHAnsi" w:cstheme="minorHAnsi"/>
              </w:rPr>
            </w:pPr>
            <w:r w:rsidRPr="00645208">
              <w:rPr>
                <w:rFonts w:asciiTheme="minorHAnsi" w:hAnsiTheme="minorHAnsi" w:cstheme="minorHAnsi"/>
                <w:sz w:val="18"/>
                <w:szCs w:val="18"/>
              </w:rPr>
              <w:t>Report comparisons using only the supplied direction label (Increase, Decrease, or Stable); never substitute inferred qualitative language.</w:t>
            </w:r>
          </w:p>
        </w:tc>
      </w:tr>
      <w:tr w:rsidR="00273A3F" w:rsidRPr="00645208">
        <w:tc>
          <w:tcPr>
            <w:tcW w:w="680" w:type="dxa"/>
            <w:tcMar>
              <w:top w:w="50" w:type="dxa"/>
              <w:left w:w="85" w:type="dxa"/>
              <w:bottom w:w="50" w:type="dxa"/>
              <w:right w:w="85" w:type="dxa"/>
            </w:tcMar>
          </w:tcPr>
          <w:p w:rsidR="00273A3F" w:rsidRPr="00645208" w:rsidRDefault="007B6EA9" w:rsidP="002B3ECA">
            <w:pPr>
              <w:spacing w:line="360" w:lineRule="auto"/>
              <w:jc w:val="both"/>
              <w:rPr>
                <w:rFonts w:asciiTheme="minorHAnsi" w:hAnsiTheme="minorHAnsi" w:cstheme="minorHAnsi"/>
              </w:rPr>
            </w:pPr>
            <w:r w:rsidRPr="00645208">
              <w:rPr>
                <w:rFonts w:asciiTheme="minorHAnsi" w:hAnsiTheme="minorHAnsi" w:cstheme="minorHAnsi"/>
                <w:sz w:val="18"/>
                <w:szCs w:val="18"/>
              </w:rPr>
              <w:lastRenderedPageBreak/>
              <w:t>FR-10</w:t>
            </w:r>
          </w:p>
        </w:tc>
        <w:tc>
          <w:tcPr>
            <w:tcW w:w="1450" w:type="dxa"/>
            <w:tcMar>
              <w:top w:w="50" w:type="dxa"/>
              <w:left w:w="85" w:type="dxa"/>
              <w:bottom w:w="50" w:type="dxa"/>
              <w:right w:w="85" w:type="dxa"/>
            </w:tcMar>
          </w:tcPr>
          <w:p w:rsidR="00273A3F" w:rsidRPr="00645208" w:rsidRDefault="007B6EA9" w:rsidP="002B3ECA">
            <w:pPr>
              <w:spacing w:line="360" w:lineRule="auto"/>
              <w:jc w:val="both"/>
              <w:rPr>
                <w:rFonts w:asciiTheme="minorHAnsi" w:hAnsiTheme="minorHAnsi" w:cstheme="minorHAnsi"/>
              </w:rPr>
            </w:pPr>
            <w:r w:rsidRPr="00645208">
              <w:rPr>
                <w:rFonts w:asciiTheme="minorHAnsi" w:hAnsiTheme="minorHAnsi" w:cstheme="minorHAnsi"/>
                <w:sz w:val="18"/>
                <w:szCs w:val="18"/>
              </w:rPr>
              <w:t>Narration</w:t>
            </w:r>
          </w:p>
        </w:tc>
        <w:tc>
          <w:tcPr>
            <w:tcW w:w="7250" w:type="dxa"/>
            <w:tcMar>
              <w:top w:w="50" w:type="dxa"/>
              <w:left w:w="85" w:type="dxa"/>
              <w:bottom w:w="50" w:type="dxa"/>
              <w:right w:w="85" w:type="dxa"/>
            </w:tcMar>
          </w:tcPr>
          <w:p w:rsidR="00273A3F" w:rsidRPr="00645208" w:rsidRDefault="007B6EA9" w:rsidP="002B3ECA">
            <w:pPr>
              <w:spacing w:line="360" w:lineRule="auto"/>
              <w:jc w:val="both"/>
              <w:rPr>
                <w:rFonts w:asciiTheme="minorHAnsi" w:hAnsiTheme="minorHAnsi" w:cstheme="minorHAnsi"/>
              </w:rPr>
            </w:pPr>
            <w:r w:rsidRPr="00645208">
              <w:rPr>
                <w:rFonts w:asciiTheme="minorHAnsi" w:hAnsiTheme="minorHAnsi" w:cstheme="minorHAnsi"/>
                <w:sz w:val="18"/>
                <w:szCs w:val="18"/>
              </w:rPr>
              <w:t>Present diagnostics as a structured table using supplied display values only, without duplicating the same ranking in surrounding prose.</w:t>
            </w:r>
          </w:p>
        </w:tc>
      </w:tr>
      <w:tr w:rsidR="00273A3F" w:rsidRPr="00645208">
        <w:tc>
          <w:tcPr>
            <w:tcW w:w="680" w:type="dxa"/>
            <w:tcMar>
              <w:top w:w="50" w:type="dxa"/>
              <w:left w:w="85" w:type="dxa"/>
              <w:bottom w:w="50" w:type="dxa"/>
              <w:right w:w="85" w:type="dxa"/>
            </w:tcMar>
          </w:tcPr>
          <w:p w:rsidR="00273A3F" w:rsidRPr="00645208" w:rsidRDefault="007B6EA9" w:rsidP="002B3ECA">
            <w:pPr>
              <w:spacing w:line="360" w:lineRule="auto"/>
              <w:jc w:val="both"/>
              <w:rPr>
                <w:rFonts w:asciiTheme="minorHAnsi" w:hAnsiTheme="minorHAnsi" w:cstheme="minorHAnsi"/>
              </w:rPr>
            </w:pPr>
            <w:r w:rsidRPr="00645208">
              <w:rPr>
                <w:rFonts w:asciiTheme="minorHAnsi" w:hAnsiTheme="minorHAnsi" w:cstheme="minorHAnsi"/>
                <w:sz w:val="18"/>
                <w:szCs w:val="18"/>
              </w:rPr>
              <w:t>FR-11</w:t>
            </w:r>
          </w:p>
        </w:tc>
        <w:tc>
          <w:tcPr>
            <w:tcW w:w="1450" w:type="dxa"/>
            <w:tcMar>
              <w:top w:w="50" w:type="dxa"/>
              <w:left w:w="85" w:type="dxa"/>
              <w:bottom w:w="50" w:type="dxa"/>
              <w:right w:w="85" w:type="dxa"/>
            </w:tcMar>
          </w:tcPr>
          <w:p w:rsidR="00273A3F" w:rsidRPr="00645208" w:rsidRDefault="007B6EA9" w:rsidP="002B3ECA">
            <w:pPr>
              <w:spacing w:line="360" w:lineRule="auto"/>
              <w:jc w:val="both"/>
              <w:rPr>
                <w:rFonts w:asciiTheme="minorHAnsi" w:hAnsiTheme="minorHAnsi" w:cstheme="minorHAnsi"/>
              </w:rPr>
            </w:pPr>
            <w:r w:rsidRPr="00645208">
              <w:rPr>
                <w:rFonts w:asciiTheme="minorHAnsi" w:hAnsiTheme="minorHAnsi" w:cstheme="minorHAnsi"/>
                <w:sz w:val="18"/>
                <w:szCs w:val="18"/>
              </w:rPr>
              <w:t>Narration</w:t>
            </w:r>
          </w:p>
        </w:tc>
        <w:tc>
          <w:tcPr>
            <w:tcW w:w="7250" w:type="dxa"/>
            <w:tcMar>
              <w:top w:w="50" w:type="dxa"/>
              <w:left w:w="85" w:type="dxa"/>
              <w:bottom w:w="50" w:type="dxa"/>
              <w:right w:w="85" w:type="dxa"/>
            </w:tcMar>
          </w:tcPr>
          <w:p w:rsidR="00273A3F" w:rsidRPr="00645208" w:rsidRDefault="007B6EA9" w:rsidP="002B3ECA">
            <w:pPr>
              <w:spacing w:line="360" w:lineRule="auto"/>
              <w:jc w:val="both"/>
              <w:rPr>
                <w:rFonts w:asciiTheme="minorHAnsi" w:hAnsiTheme="minorHAnsi" w:cstheme="minorHAnsi"/>
              </w:rPr>
            </w:pPr>
            <w:r w:rsidRPr="00645208">
              <w:rPr>
                <w:rFonts w:asciiTheme="minorHAnsi" w:hAnsiTheme="minorHAnsi" w:cstheme="minorHAnsi"/>
                <w:sz w:val="18"/>
                <w:szCs w:val="18"/>
              </w:rPr>
              <w:t>Prioritize material negative findings and verified diagnostics ahead of routine descriptive metrics in the executive summary.</w:t>
            </w:r>
          </w:p>
        </w:tc>
      </w:tr>
      <w:tr w:rsidR="00273A3F" w:rsidRPr="00645208">
        <w:tc>
          <w:tcPr>
            <w:tcW w:w="680" w:type="dxa"/>
            <w:tcMar>
              <w:top w:w="50" w:type="dxa"/>
              <w:left w:w="85" w:type="dxa"/>
              <w:bottom w:w="50" w:type="dxa"/>
              <w:right w:w="85" w:type="dxa"/>
            </w:tcMar>
          </w:tcPr>
          <w:p w:rsidR="00273A3F" w:rsidRPr="00645208" w:rsidRDefault="007B6EA9" w:rsidP="002B3ECA">
            <w:pPr>
              <w:spacing w:line="360" w:lineRule="auto"/>
              <w:jc w:val="both"/>
              <w:rPr>
                <w:rFonts w:asciiTheme="minorHAnsi" w:hAnsiTheme="minorHAnsi" w:cstheme="minorHAnsi"/>
              </w:rPr>
            </w:pPr>
            <w:r w:rsidRPr="00645208">
              <w:rPr>
                <w:rFonts w:asciiTheme="minorHAnsi" w:hAnsiTheme="minorHAnsi" w:cstheme="minorHAnsi"/>
                <w:sz w:val="18"/>
                <w:szCs w:val="18"/>
              </w:rPr>
              <w:t>FR-12</w:t>
            </w:r>
          </w:p>
        </w:tc>
        <w:tc>
          <w:tcPr>
            <w:tcW w:w="1450" w:type="dxa"/>
            <w:tcMar>
              <w:top w:w="50" w:type="dxa"/>
              <w:left w:w="85" w:type="dxa"/>
              <w:bottom w:w="50" w:type="dxa"/>
              <w:right w:w="85" w:type="dxa"/>
            </w:tcMar>
          </w:tcPr>
          <w:p w:rsidR="00273A3F" w:rsidRPr="00645208" w:rsidRDefault="007B6EA9" w:rsidP="002B3ECA">
            <w:pPr>
              <w:spacing w:line="360" w:lineRule="auto"/>
              <w:jc w:val="both"/>
              <w:rPr>
                <w:rFonts w:asciiTheme="minorHAnsi" w:hAnsiTheme="minorHAnsi" w:cstheme="minorHAnsi"/>
              </w:rPr>
            </w:pPr>
            <w:r w:rsidRPr="00645208">
              <w:rPr>
                <w:rFonts w:asciiTheme="minorHAnsi" w:hAnsiTheme="minorHAnsi" w:cstheme="minorHAnsi"/>
                <w:sz w:val="18"/>
                <w:szCs w:val="18"/>
              </w:rPr>
              <w:t>Narration</w:t>
            </w:r>
          </w:p>
        </w:tc>
        <w:tc>
          <w:tcPr>
            <w:tcW w:w="7250" w:type="dxa"/>
            <w:tcMar>
              <w:top w:w="50" w:type="dxa"/>
              <w:left w:w="85" w:type="dxa"/>
              <w:bottom w:w="50" w:type="dxa"/>
              <w:right w:w="85" w:type="dxa"/>
            </w:tcMar>
          </w:tcPr>
          <w:p w:rsidR="00273A3F" w:rsidRPr="00645208" w:rsidRDefault="007B6EA9" w:rsidP="002B3ECA">
            <w:pPr>
              <w:spacing w:line="360" w:lineRule="auto"/>
              <w:jc w:val="both"/>
              <w:rPr>
                <w:rFonts w:asciiTheme="minorHAnsi" w:hAnsiTheme="minorHAnsi" w:cstheme="minorHAnsi"/>
              </w:rPr>
            </w:pPr>
            <w:r w:rsidRPr="00645208">
              <w:rPr>
                <w:rFonts w:asciiTheme="minorHAnsi" w:hAnsiTheme="minorHAnsi" w:cstheme="minorHAnsi"/>
                <w:sz w:val="18"/>
                <w:szCs w:val="18"/>
              </w:rPr>
              <w:t>Withhold the full executive report, and state that insufficient verified metrics are available, when fewer than 50% of requested metrics are successfully supplied.</w:t>
            </w:r>
          </w:p>
        </w:tc>
      </w:tr>
      <w:tr w:rsidR="00273A3F" w:rsidRPr="00645208">
        <w:tc>
          <w:tcPr>
            <w:tcW w:w="680" w:type="dxa"/>
            <w:tcMar>
              <w:top w:w="50" w:type="dxa"/>
              <w:left w:w="85" w:type="dxa"/>
              <w:bottom w:w="50" w:type="dxa"/>
              <w:right w:w="85" w:type="dxa"/>
            </w:tcMar>
          </w:tcPr>
          <w:p w:rsidR="00273A3F" w:rsidRPr="00645208" w:rsidRDefault="007B6EA9" w:rsidP="002B3ECA">
            <w:pPr>
              <w:spacing w:line="360" w:lineRule="auto"/>
              <w:jc w:val="both"/>
              <w:rPr>
                <w:rFonts w:asciiTheme="minorHAnsi" w:hAnsiTheme="minorHAnsi" w:cstheme="minorHAnsi"/>
              </w:rPr>
            </w:pPr>
            <w:r w:rsidRPr="00645208">
              <w:rPr>
                <w:rFonts w:asciiTheme="minorHAnsi" w:hAnsiTheme="minorHAnsi" w:cstheme="minorHAnsi"/>
                <w:sz w:val="18"/>
                <w:szCs w:val="18"/>
              </w:rPr>
              <w:t>FR-13</w:t>
            </w:r>
          </w:p>
        </w:tc>
        <w:tc>
          <w:tcPr>
            <w:tcW w:w="1450" w:type="dxa"/>
            <w:tcMar>
              <w:top w:w="50" w:type="dxa"/>
              <w:left w:w="85" w:type="dxa"/>
              <w:bottom w:w="50" w:type="dxa"/>
              <w:right w:w="85" w:type="dxa"/>
            </w:tcMar>
          </w:tcPr>
          <w:p w:rsidR="00273A3F" w:rsidRPr="00645208" w:rsidRDefault="007B6EA9" w:rsidP="002B3ECA">
            <w:pPr>
              <w:spacing w:line="360" w:lineRule="auto"/>
              <w:jc w:val="both"/>
              <w:rPr>
                <w:rFonts w:asciiTheme="minorHAnsi" w:hAnsiTheme="minorHAnsi" w:cstheme="minorHAnsi"/>
              </w:rPr>
            </w:pPr>
            <w:r w:rsidRPr="00645208">
              <w:rPr>
                <w:rFonts w:asciiTheme="minorHAnsi" w:hAnsiTheme="minorHAnsi" w:cstheme="minorHAnsi"/>
                <w:sz w:val="18"/>
                <w:szCs w:val="18"/>
              </w:rPr>
              <w:t>Reporting</w:t>
            </w:r>
          </w:p>
        </w:tc>
        <w:tc>
          <w:tcPr>
            <w:tcW w:w="7250" w:type="dxa"/>
            <w:tcMar>
              <w:top w:w="50" w:type="dxa"/>
              <w:left w:w="85" w:type="dxa"/>
              <w:bottom w:w="50" w:type="dxa"/>
              <w:right w:w="85" w:type="dxa"/>
            </w:tcMar>
          </w:tcPr>
          <w:p w:rsidR="00273A3F" w:rsidRPr="00645208" w:rsidRDefault="007B6EA9" w:rsidP="002B3ECA">
            <w:pPr>
              <w:spacing w:line="360" w:lineRule="auto"/>
              <w:jc w:val="both"/>
              <w:rPr>
                <w:rFonts w:asciiTheme="minorHAnsi" w:hAnsiTheme="minorHAnsi" w:cstheme="minorHAnsi"/>
              </w:rPr>
            </w:pPr>
            <w:r w:rsidRPr="00645208">
              <w:rPr>
                <w:rFonts w:asciiTheme="minorHAnsi" w:hAnsiTheme="minorHAnsi" w:cstheme="minorHAnsi"/>
                <w:sz w:val="18"/>
                <w:szCs w:val="18"/>
              </w:rPr>
              <w:t>Generate a structured executive report containing an executive summary, operational performance, financial performance, business implications, and recommendations, with support for export as a formatted document.</w:t>
            </w:r>
          </w:p>
        </w:tc>
      </w:tr>
      <w:tr w:rsidR="00273A3F" w:rsidRPr="00645208">
        <w:tc>
          <w:tcPr>
            <w:tcW w:w="680" w:type="dxa"/>
            <w:tcMar>
              <w:top w:w="50" w:type="dxa"/>
              <w:left w:w="85" w:type="dxa"/>
              <w:bottom w:w="50" w:type="dxa"/>
              <w:right w:w="85" w:type="dxa"/>
            </w:tcMar>
          </w:tcPr>
          <w:p w:rsidR="00273A3F" w:rsidRPr="00645208" w:rsidRDefault="007B6EA9" w:rsidP="002B3ECA">
            <w:pPr>
              <w:spacing w:line="360" w:lineRule="auto"/>
              <w:jc w:val="both"/>
              <w:rPr>
                <w:rFonts w:asciiTheme="minorHAnsi" w:hAnsiTheme="minorHAnsi" w:cstheme="minorHAnsi"/>
              </w:rPr>
            </w:pPr>
            <w:r w:rsidRPr="00645208">
              <w:rPr>
                <w:rFonts w:asciiTheme="minorHAnsi" w:hAnsiTheme="minorHAnsi" w:cstheme="minorHAnsi"/>
                <w:sz w:val="18"/>
                <w:szCs w:val="18"/>
              </w:rPr>
              <w:t>FR-14</w:t>
            </w:r>
          </w:p>
        </w:tc>
        <w:tc>
          <w:tcPr>
            <w:tcW w:w="1450" w:type="dxa"/>
            <w:tcMar>
              <w:top w:w="50" w:type="dxa"/>
              <w:left w:w="85" w:type="dxa"/>
              <w:bottom w:w="50" w:type="dxa"/>
              <w:right w:w="85" w:type="dxa"/>
            </w:tcMar>
          </w:tcPr>
          <w:p w:rsidR="00273A3F" w:rsidRPr="00645208" w:rsidRDefault="007B6EA9" w:rsidP="002B3ECA">
            <w:pPr>
              <w:spacing w:line="360" w:lineRule="auto"/>
              <w:jc w:val="both"/>
              <w:rPr>
                <w:rFonts w:asciiTheme="minorHAnsi" w:hAnsiTheme="minorHAnsi" w:cstheme="minorHAnsi"/>
              </w:rPr>
            </w:pPr>
            <w:r w:rsidRPr="00645208">
              <w:rPr>
                <w:rFonts w:asciiTheme="minorHAnsi" w:hAnsiTheme="minorHAnsi" w:cstheme="minorHAnsi"/>
                <w:sz w:val="18"/>
                <w:szCs w:val="18"/>
              </w:rPr>
              <w:t>Reporting</w:t>
            </w:r>
          </w:p>
        </w:tc>
        <w:tc>
          <w:tcPr>
            <w:tcW w:w="7250" w:type="dxa"/>
            <w:tcMar>
              <w:top w:w="50" w:type="dxa"/>
              <w:left w:w="85" w:type="dxa"/>
              <w:bottom w:w="50" w:type="dxa"/>
              <w:right w:w="85" w:type="dxa"/>
            </w:tcMar>
          </w:tcPr>
          <w:p w:rsidR="00273A3F" w:rsidRPr="00645208" w:rsidRDefault="007B6EA9" w:rsidP="002B3ECA">
            <w:pPr>
              <w:spacing w:line="360" w:lineRule="auto"/>
              <w:jc w:val="both"/>
              <w:rPr>
                <w:rFonts w:asciiTheme="minorHAnsi" w:hAnsiTheme="minorHAnsi" w:cstheme="minorHAnsi"/>
              </w:rPr>
            </w:pPr>
            <w:r w:rsidRPr="00645208">
              <w:rPr>
                <w:rFonts w:asciiTheme="minorHAnsi" w:hAnsiTheme="minorHAnsi" w:cstheme="minorHAnsi"/>
                <w:sz w:val="18"/>
                <w:szCs w:val="18"/>
              </w:rPr>
              <w:t>Support an interactive mode that returns a plain-language answer to a single-metric question, without full report formatting.</w:t>
            </w:r>
          </w:p>
        </w:tc>
      </w:tr>
      <w:tr w:rsidR="00273A3F" w:rsidRPr="00645208">
        <w:tc>
          <w:tcPr>
            <w:tcW w:w="680" w:type="dxa"/>
            <w:tcMar>
              <w:top w:w="50" w:type="dxa"/>
              <w:left w:w="85" w:type="dxa"/>
              <w:bottom w:w="50" w:type="dxa"/>
              <w:right w:w="85" w:type="dxa"/>
            </w:tcMar>
          </w:tcPr>
          <w:p w:rsidR="00273A3F" w:rsidRPr="00645208" w:rsidRDefault="007B6EA9" w:rsidP="002B3ECA">
            <w:pPr>
              <w:spacing w:line="360" w:lineRule="auto"/>
              <w:jc w:val="both"/>
              <w:rPr>
                <w:rFonts w:asciiTheme="minorHAnsi" w:hAnsiTheme="minorHAnsi" w:cstheme="minorHAnsi"/>
              </w:rPr>
            </w:pPr>
            <w:r w:rsidRPr="00645208">
              <w:rPr>
                <w:rFonts w:asciiTheme="minorHAnsi" w:hAnsiTheme="minorHAnsi" w:cstheme="minorHAnsi"/>
                <w:sz w:val="18"/>
                <w:szCs w:val="18"/>
              </w:rPr>
              <w:t>FR-15</w:t>
            </w:r>
          </w:p>
        </w:tc>
        <w:tc>
          <w:tcPr>
            <w:tcW w:w="1450" w:type="dxa"/>
            <w:tcMar>
              <w:top w:w="50" w:type="dxa"/>
              <w:left w:w="85" w:type="dxa"/>
              <w:bottom w:w="50" w:type="dxa"/>
              <w:right w:w="85" w:type="dxa"/>
            </w:tcMar>
          </w:tcPr>
          <w:p w:rsidR="00273A3F" w:rsidRPr="00645208" w:rsidRDefault="007B6EA9" w:rsidP="002B3ECA">
            <w:pPr>
              <w:spacing w:line="360" w:lineRule="auto"/>
              <w:jc w:val="both"/>
              <w:rPr>
                <w:rFonts w:asciiTheme="minorHAnsi" w:hAnsiTheme="minorHAnsi" w:cstheme="minorHAnsi"/>
              </w:rPr>
            </w:pPr>
            <w:r w:rsidRPr="00645208">
              <w:rPr>
                <w:rFonts w:asciiTheme="minorHAnsi" w:hAnsiTheme="minorHAnsi" w:cstheme="minorHAnsi"/>
                <w:sz w:val="18"/>
                <w:szCs w:val="18"/>
              </w:rPr>
              <w:t>Reporting</w:t>
            </w:r>
          </w:p>
        </w:tc>
        <w:tc>
          <w:tcPr>
            <w:tcW w:w="7250" w:type="dxa"/>
            <w:tcMar>
              <w:top w:w="50" w:type="dxa"/>
              <w:left w:w="85" w:type="dxa"/>
              <w:bottom w:w="50" w:type="dxa"/>
              <w:right w:w="85" w:type="dxa"/>
            </w:tcMar>
          </w:tcPr>
          <w:p w:rsidR="00273A3F" w:rsidRPr="00645208" w:rsidRDefault="007B6EA9" w:rsidP="002B3ECA">
            <w:pPr>
              <w:spacing w:line="360" w:lineRule="auto"/>
              <w:jc w:val="both"/>
              <w:rPr>
                <w:rFonts w:asciiTheme="minorHAnsi" w:hAnsiTheme="minorHAnsi" w:cstheme="minorHAnsi"/>
              </w:rPr>
            </w:pPr>
            <w:r w:rsidRPr="00645208">
              <w:rPr>
                <w:rFonts w:asciiTheme="minorHAnsi" w:hAnsiTheme="minorHAnsi" w:cstheme="minorHAnsi"/>
                <w:sz w:val="18"/>
                <w:szCs w:val="18"/>
              </w:rPr>
              <w:t>Generate recommendations using only an approved set of verbs — investigate, review, monitor, compare, establish baseline, continue monitoring — aligned to the specific metric each diagnostic represents.</w:t>
            </w:r>
          </w:p>
        </w:tc>
      </w:tr>
      <w:tr w:rsidR="00273A3F" w:rsidRPr="00645208">
        <w:tc>
          <w:tcPr>
            <w:tcW w:w="680" w:type="dxa"/>
            <w:tcMar>
              <w:top w:w="50" w:type="dxa"/>
              <w:left w:w="85" w:type="dxa"/>
              <w:bottom w:w="50" w:type="dxa"/>
              <w:right w:w="85" w:type="dxa"/>
            </w:tcMar>
          </w:tcPr>
          <w:p w:rsidR="00273A3F" w:rsidRPr="00645208" w:rsidRDefault="007B6EA9" w:rsidP="002B3ECA">
            <w:pPr>
              <w:spacing w:line="360" w:lineRule="auto"/>
              <w:jc w:val="both"/>
              <w:rPr>
                <w:rFonts w:asciiTheme="minorHAnsi" w:hAnsiTheme="minorHAnsi" w:cstheme="minorHAnsi"/>
              </w:rPr>
            </w:pPr>
            <w:r w:rsidRPr="00645208">
              <w:rPr>
                <w:rFonts w:asciiTheme="minorHAnsi" w:hAnsiTheme="minorHAnsi" w:cstheme="minorHAnsi"/>
                <w:sz w:val="18"/>
                <w:szCs w:val="18"/>
              </w:rPr>
              <w:t>FR-16</w:t>
            </w:r>
          </w:p>
        </w:tc>
        <w:tc>
          <w:tcPr>
            <w:tcW w:w="1450" w:type="dxa"/>
            <w:tcMar>
              <w:top w:w="50" w:type="dxa"/>
              <w:left w:w="85" w:type="dxa"/>
              <w:bottom w:w="50" w:type="dxa"/>
              <w:right w:w="85" w:type="dxa"/>
            </w:tcMar>
          </w:tcPr>
          <w:p w:rsidR="00273A3F" w:rsidRPr="00645208" w:rsidRDefault="007B6EA9" w:rsidP="002B3ECA">
            <w:pPr>
              <w:spacing w:line="360" w:lineRule="auto"/>
              <w:jc w:val="both"/>
              <w:rPr>
                <w:rFonts w:asciiTheme="minorHAnsi" w:hAnsiTheme="minorHAnsi" w:cstheme="minorHAnsi"/>
              </w:rPr>
            </w:pPr>
            <w:r w:rsidRPr="00645208">
              <w:rPr>
                <w:rFonts w:asciiTheme="minorHAnsi" w:hAnsiTheme="minorHAnsi" w:cstheme="minorHAnsi"/>
                <w:sz w:val="18"/>
                <w:szCs w:val="18"/>
              </w:rPr>
              <w:t>Configuration</w:t>
            </w:r>
          </w:p>
        </w:tc>
        <w:tc>
          <w:tcPr>
            <w:tcW w:w="7250" w:type="dxa"/>
            <w:tcMar>
              <w:top w:w="50" w:type="dxa"/>
              <w:left w:w="85" w:type="dxa"/>
              <w:bottom w:w="50" w:type="dxa"/>
              <w:right w:w="85" w:type="dxa"/>
            </w:tcMar>
          </w:tcPr>
          <w:p w:rsidR="00273A3F" w:rsidRPr="00645208" w:rsidRDefault="007B6EA9" w:rsidP="002B3ECA">
            <w:pPr>
              <w:spacing w:line="360" w:lineRule="auto"/>
              <w:jc w:val="both"/>
              <w:rPr>
                <w:rFonts w:asciiTheme="minorHAnsi" w:hAnsiTheme="minorHAnsi" w:cstheme="minorHAnsi"/>
              </w:rPr>
            </w:pPr>
            <w:r w:rsidRPr="00645208">
              <w:rPr>
                <w:rFonts w:asciiTheme="minorHAnsi" w:hAnsiTheme="minorHAnsi" w:cstheme="minorHAnsi"/>
                <w:sz w:val="18"/>
                <w:szCs w:val="18"/>
              </w:rPr>
              <w:t>Load all domain-specific settings — database view, dimensions, measures, KPI definitions, thresholds, and business assumptions such as currency — from an external YAML configuration file.</w:t>
            </w:r>
          </w:p>
        </w:tc>
      </w:tr>
      <w:tr w:rsidR="00273A3F" w:rsidRPr="00645208">
        <w:tc>
          <w:tcPr>
            <w:tcW w:w="680" w:type="dxa"/>
            <w:tcMar>
              <w:top w:w="50" w:type="dxa"/>
              <w:left w:w="85" w:type="dxa"/>
              <w:bottom w:w="50" w:type="dxa"/>
              <w:right w:w="85" w:type="dxa"/>
            </w:tcMar>
          </w:tcPr>
          <w:p w:rsidR="00273A3F" w:rsidRPr="00645208" w:rsidRDefault="007B6EA9" w:rsidP="002B3ECA">
            <w:pPr>
              <w:spacing w:line="360" w:lineRule="auto"/>
              <w:jc w:val="both"/>
              <w:rPr>
                <w:rFonts w:asciiTheme="minorHAnsi" w:hAnsiTheme="minorHAnsi" w:cstheme="minorHAnsi"/>
              </w:rPr>
            </w:pPr>
            <w:r w:rsidRPr="00645208">
              <w:rPr>
                <w:rFonts w:asciiTheme="minorHAnsi" w:hAnsiTheme="minorHAnsi" w:cstheme="minorHAnsi"/>
                <w:sz w:val="18"/>
                <w:szCs w:val="18"/>
              </w:rPr>
              <w:t>FR-17</w:t>
            </w:r>
          </w:p>
        </w:tc>
        <w:tc>
          <w:tcPr>
            <w:tcW w:w="1450" w:type="dxa"/>
            <w:tcMar>
              <w:top w:w="50" w:type="dxa"/>
              <w:left w:w="85" w:type="dxa"/>
              <w:bottom w:w="50" w:type="dxa"/>
              <w:right w:w="85" w:type="dxa"/>
            </w:tcMar>
          </w:tcPr>
          <w:p w:rsidR="00273A3F" w:rsidRPr="00645208" w:rsidRDefault="007B6EA9" w:rsidP="002B3ECA">
            <w:pPr>
              <w:spacing w:line="360" w:lineRule="auto"/>
              <w:jc w:val="both"/>
              <w:rPr>
                <w:rFonts w:asciiTheme="minorHAnsi" w:hAnsiTheme="minorHAnsi" w:cstheme="minorHAnsi"/>
              </w:rPr>
            </w:pPr>
            <w:r w:rsidRPr="00645208">
              <w:rPr>
                <w:rFonts w:asciiTheme="minorHAnsi" w:hAnsiTheme="minorHAnsi" w:cstheme="minorHAnsi"/>
                <w:sz w:val="18"/>
                <w:szCs w:val="18"/>
              </w:rPr>
              <w:t>Configuration</w:t>
            </w:r>
          </w:p>
        </w:tc>
        <w:tc>
          <w:tcPr>
            <w:tcW w:w="7250" w:type="dxa"/>
            <w:tcMar>
              <w:top w:w="50" w:type="dxa"/>
              <w:left w:w="85" w:type="dxa"/>
              <w:bottom w:w="50" w:type="dxa"/>
              <w:right w:w="85" w:type="dxa"/>
            </w:tcMar>
          </w:tcPr>
          <w:p w:rsidR="00273A3F" w:rsidRPr="00645208" w:rsidRDefault="007B6EA9" w:rsidP="002B3ECA">
            <w:pPr>
              <w:spacing w:line="360" w:lineRule="auto"/>
              <w:jc w:val="both"/>
              <w:rPr>
                <w:rFonts w:asciiTheme="minorHAnsi" w:hAnsiTheme="minorHAnsi" w:cstheme="minorHAnsi"/>
              </w:rPr>
            </w:pPr>
            <w:r w:rsidRPr="00645208">
              <w:rPr>
                <w:rFonts w:asciiTheme="minorHAnsi" w:hAnsiTheme="minorHAnsi" w:cstheme="minorHAnsi"/>
                <w:sz w:val="18"/>
                <w:szCs w:val="18"/>
              </w:rPr>
              <w:t xml:space="preserve">Support multiple independently configured business domains using the same core engine, </w:t>
            </w:r>
            <w:r w:rsidR="00D86DE2" w:rsidRPr="00D86DE2">
              <w:rPr>
                <w:rFonts w:asciiTheme="minorHAnsi" w:hAnsiTheme="minorHAnsi" w:cstheme="minorHAnsi"/>
                <w:sz w:val="18"/>
                <w:szCs w:val="18"/>
              </w:rPr>
              <w:t>without modifying the analytics engine or executive narration layer.</w:t>
            </w:r>
          </w:p>
        </w:tc>
      </w:tr>
    </w:tbl>
    <w:p w:rsidR="00273A3F" w:rsidRPr="00645208" w:rsidRDefault="002B3ECA" w:rsidP="002B3ECA">
      <w:pPr>
        <w:pStyle w:val="Heading2"/>
        <w:pBdr>
          <w:bottom w:val="single" w:sz="6" w:space="4" w:color="1F3864"/>
        </w:pBdr>
        <w:spacing w:before="200" w:after="90" w:line="360" w:lineRule="auto"/>
        <w:jc w:val="both"/>
        <w:rPr>
          <w:rFonts w:asciiTheme="minorHAnsi" w:hAnsiTheme="minorHAnsi" w:cstheme="minorHAnsi"/>
        </w:rPr>
      </w:pPr>
      <w:r>
        <w:rPr>
          <w:rFonts w:asciiTheme="minorHAnsi" w:hAnsiTheme="minorHAnsi" w:cstheme="minorHAnsi"/>
          <w:b/>
          <w:bCs/>
          <w:color w:val="1F3864"/>
          <w:sz w:val="25"/>
          <w:szCs w:val="25"/>
        </w:rPr>
        <w:t>8</w:t>
      </w:r>
      <w:r w:rsidR="007B6EA9" w:rsidRPr="00645208">
        <w:rPr>
          <w:rFonts w:asciiTheme="minorHAnsi" w:hAnsiTheme="minorHAnsi" w:cstheme="minorHAnsi"/>
          <w:b/>
          <w:bCs/>
          <w:color w:val="1F3864"/>
          <w:sz w:val="25"/>
          <w:szCs w:val="25"/>
        </w:rPr>
        <w:t>. Non-Functional Requirements</w:t>
      </w:r>
    </w:p>
    <w:p w:rsidR="00273A3F" w:rsidRPr="00645208" w:rsidRDefault="00D86DE2" w:rsidP="002B3ECA">
      <w:pPr>
        <w:pStyle w:val="ListParagraph"/>
        <w:numPr>
          <w:ilvl w:val="0"/>
          <w:numId w:val="2"/>
        </w:numPr>
        <w:spacing w:after="60" w:line="360" w:lineRule="auto"/>
        <w:jc w:val="both"/>
        <w:rPr>
          <w:rFonts w:asciiTheme="minorHAnsi" w:hAnsiTheme="minorHAnsi" w:cstheme="minorHAnsi"/>
          <w:sz w:val="18"/>
          <w:szCs w:val="18"/>
        </w:rPr>
      </w:pPr>
      <w:proofErr w:type="spellStart"/>
      <w:r>
        <w:rPr>
          <w:rFonts w:asciiTheme="minorHAnsi" w:hAnsiTheme="minorHAnsi" w:cstheme="minorHAnsi"/>
          <w:b/>
          <w:bCs/>
          <w:sz w:val="18"/>
          <w:szCs w:val="18"/>
        </w:rPr>
        <w:t>Explain</w:t>
      </w:r>
      <w:r w:rsidR="00AC776F" w:rsidRPr="00645208">
        <w:rPr>
          <w:rFonts w:asciiTheme="minorHAnsi" w:hAnsiTheme="minorHAnsi" w:cstheme="minorHAnsi"/>
          <w:b/>
          <w:bCs/>
          <w:sz w:val="18"/>
          <w:szCs w:val="18"/>
        </w:rPr>
        <w:t>ability</w:t>
      </w:r>
      <w:proofErr w:type="spellEnd"/>
      <w:r w:rsidR="007B6EA9" w:rsidRPr="00645208">
        <w:rPr>
          <w:rFonts w:asciiTheme="minorHAnsi" w:hAnsiTheme="minorHAnsi" w:cstheme="minorHAnsi"/>
          <w:sz w:val="18"/>
          <w:szCs w:val="18"/>
        </w:rPr>
        <w:t xml:space="preserve"> — every reported figure must be traceable to a deterministic SQL or Python calculation; no figure may originate from the language model.</w:t>
      </w:r>
    </w:p>
    <w:p w:rsidR="00273A3F" w:rsidRPr="00645208" w:rsidRDefault="007B6EA9" w:rsidP="002B3ECA">
      <w:pPr>
        <w:pStyle w:val="ListParagraph"/>
        <w:numPr>
          <w:ilvl w:val="0"/>
          <w:numId w:val="2"/>
        </w:numPr>
        <w:spacing w:after="60" w:line="360" w:lineRule="auto"/>
        <w:jc w:val="both"/>
        <w:rPr>
          <w:rFonts w:asciiTheme="minorHAnsi" w:hAnsiTheme="minorHAnsi" w:cstheme="minorHAnsi"/>
          <w:sz w:val="18"/>
          <w:szCs w:val="18"/>
        </w:rPr>
      </w:pPr>
      <w:r w:rsidRPr="00645208">
        <w:rPr>
          <w:rFonts w:asciiTheme="minorHAnsi" w:hAnsiTheme="minorHAnsi" w:cstheme="minorHAnsi"/>
          <w:b/>
          <w:bCs/>
          <w:sz w:val="18"/>
          <w:szCs w:val="18"/>
        </w:rPr>
        <w:t>Consistency</w:t>
      </w:r>
      <w:r w:rsidRPr="00645208">
        <w:rPr>
          <w:rFonts w:asciiTheme="minorHAnsi" w:hAnsiTheme="minorHAnsi" w:cstheme="minorHAnsi"/>
          <w:sz w:val="18"/>
          <w:szCs w:val="18"/>
        </w:rPr>
        <w:t xml:space="preserve"> — the same metric, requested through the executive report or the interactive mode, must return the same underlying value and interpretation.</w:t>
      </w:r>
    </w:p>
    <w:p w:rsidR="00273A3F" w:rsidRPr="00645208" w:rsidRDefault="00AC776F" w:rsidP="002B3ECA">
      <w:pPr>
        <w:pStyle w:val="ListParagraph"/>
        <w:numPr>
          <w:ilvl w:val="0"/>
          <w:numId w:val="2"/>
        </w:numPr>
        <w:spacing w:after="60" w:line="360" w:lineRule="auto"/>
        <w:jc w:val="both"/>
        <w:rPr>
          <w:rFonts w:asciiTheme="minorHAnsi" w:hAnsiTheme="minorHAnsi" w:cstheme="minorHAnsi"/>
          <w:sz w:val="18"/>
          <w:szCs w:val="18"/>
        </w:rPr>
      </w:pPr>
      <w:r w:rsidRPr="00645208">
        <w:rPr>
          <w:rFonts w:asciiTheme="minorHAnsi" w:hAnsiTheme="minorHAnsi" w:cstheme="minorHAnsi"/>
          <w:b/>
          <w:bCs/>
          <w:sz w:val="18"/>
          <w:szCs w:val="18"/>
        </w:rPr>
        <w:t>Audit ability</w:t>
      </w:r>
      <w:r w:rsidR="007B6EA9" w:rsidRPr="00645208">
        <w:rPr>
          <w:rFonts w:asciiTheme="minorHAnsi" w:hAnsiTheme="minorHAnsi" w:cstheme="minorHAnsi"/>
          <w:sz w:val="18"/>
          <w:szCs w:val="18"/>
        </w:rPr>
        <w:t xml:space="preserve"> — business meaning, interpretation, and threshold logic must be defined in code and configuration, not inferred at generation time.</w:t>
      </w:r>
    </w:p>
    <w:p w:rsidR="00273A3F" w:rsidRPr="00645208" w:rsidRDefault="007B6EA9" w:rsidP="002B3ECA">
      <w:pPr>
        <w:pStyle w:val="ListParagraph"/>
        <w:numPr>
          <w:ilvl w:val="0"/>
          <w:numId w:val="2"/>
        </w:numPr>
        <w:spacing w:after="60" w:line="360" w:lineRule="auto"/>
        <w:jc w:val="both"/>
        <w:rPr>
          <w:rFonts w:asciiTheme="minorHAnsi" w:hAnsiTheme="minorHAnsi" w:cstheme="minorHAnsi"/>
          <w:sz w:val="18"/>
          <w:szCs w:val="18"/>
        </w:rPr>
      </w:pPr>
      <w:r w:rsidRPr="00645208">
        <w:rPr>
          <w:rFonts w:asciiTheme="minorHAnsi" w:hAnsiTheme="minorHAnsi" w:cstheme="minorHAnsi"/>
          <w:b/>
          <w:bCs/>
          <w:sz w:val="18"/>
          <w:szCs w:val="18"/>
        </w:rPr>
        <w:t>Extensibility</w:t>
      </w:r>
      <w:r w:rsidRPr="00645208">
        <w:rPr>
          <w:rFonts w:asciiTheme="minorHAnsi" w:hAnsiTheme="minorHAnsi" w:cstheme="minorHAnsi"/>
          <w:sz w:val="18"/>
          <w:szCs w:val="18"/>
        </w:rPr>
        <w:t xml:space="preserve"> — adding a new business domain must require only a new configuration file and, where needed, new interpretation rules, not a redesign of the KPI engine or narration layer.</w:t>
      </w:r>
    </w:p>
    <w:p w:rsidR="00273A3F" w:rsidRPr="00645208" w:rsidRDefault="007B6EA9" w:rsidP="002B3ECA">
      <w:pPr>
        <w:pStyle w:val="ListParagraph"/>
        <w:numPr>
          <w:ilvl w:val="0"/>
          <w:numId w:val="2"/>
        </w:numPr>
        <w:spacing w:after="60" w:line="360" w:lineRule="auto"/>
        <w:jc w:val="both"/>
        <w:rPr>
          <w:rFonts w:asciiTheme="minorHAnsi" w:hAnsiTheme="minorHAnsi" w:cstheme="minorHAnsi"/>
          <w:sz w:val="18"/>
          <w:szCs w:val="18"/>
        </w:rPr>
      </w:pPr>
      <w:r w:rsidRPr="00645208">
        <w:rPr>
          <w:rFonts w:asciiTheme="minorHAnsi" w:hAnsiTheme="minorHAnsi" w:cstheme="minorHAnsi"/>
          <w:b/>
          <w:bCs/>
          <w:sz w:val="18"/>
          <w:szCs w:val="18"/>
        </w:rPr>
        <w:t>Data integrity</w:t>
      </w:r>
      <w:r w:rsidRPr="00645208">
        <w:rPr>
          <w:rFonts w:asciiTheme="minorHAnsi" w:hAnsiTheme="minorHAnsi" w:cstheme="minorHAnsi"/>
          <w:sz w:val="18"/>
          <w:szCs w:val="18"/>
        </w:rPr>
        <w:t xml:space="preserve"> — numerical values passed to the narration layer must be presented exactly as supplied, without recalculation, rounding changes, or unit or currency conversion.</w:t>
      </w:r>
    </w:p>
    <w:p w:rsidR="00273A3F" w:rsidRPr="00645208" w:rsidRDefault="007B6EA9" w:rsidP="002B3ECA">
      <w:pPr>
        <w:pStyle w:val="ListParagraph"/>
        <w:numPr>
          <w:ilvl w:val="0"/>
          <w:numId w:val="2"/>
        </w:numPr>
        <w:spacing w:after="60" w:line="360" w:lineRule="auto"/>
        <w:jc w:val="both"/>
        <w:rPr>
          <w:rFonts w:asciiTheme="minorHAnsi" w:hAnsiTheme="minorHAnsi" w:cstheme="minorHAnsi"/>
          <w:sz w:val="18"/>
          <w:szCs w:val="18"/>
        </w:rPr>
      </w:pPr>
      <w:r w:rsidRPr="00645208">
        <w:rPr>
          <w:rFonts w:asciiTheme="minorHAnsi" w:hAnsiTheme="minorHAnsi" w:cstheme="minorHAnsi"/>
          <w:b/>
          <w:bCs/>
          <w:sz w:val="18"/>
          <w:szCs w:val="18"/>
        </w:rPr>
        <w:t>Credential handling</w:t>
      </w:r>
      <w:r w:rsidRPr="00645208">
        <w:rPr>
          <w:rFonts w:asciiTheme="minorHAnsi" w:hAnsiTheme="minorHAnsi" w:cstheme="minorHAnsi"/>
          <w:sz w:val="18"/>
          <w:szCs w:val="18"/>
        </w:rPr>
        <w:t xml:space="preserve"> — database and API credentials are managed through environment variables and excluded from version control.</w:t>
      </w:r>
    </w:p>
    <w:p w:rsidR="00273A3F" w:rsidRPr="00645208" w:rsidRDefault="002B3ECA" w:rsidP="002B3ECA">
      <w:pPr>
        <w:pStyle w:val="Heading2"/>
        <w:pBdr>
          <w:bottom w:val="single" w:sz="6" w:space="4" w:color="1F3864"/>
        </w:pBdr>
        <w:spacing w:before="200" w:after="90" w:line="360" w:lineRule="auto"/>
        <w:jc w:val="both"/>
        <w:rPr>
          <w:rFonts w:asciiTheme="minorHAnsi" w:hAnsiTheme="minorHAnsi" w:cstheme="minorHAnsi"/>
        </w:rPr>
      </w:pPr>
      <w:r>
        <w:rPr>
          <w:rFonts w:asciiTheme="minorHAnsi" w:hAnsiTheme="minorHAnsi" w:cstheme="minorHAnsi"/>
          <w:b/>
          <w:bCs/>
          <w:color w:val="1F3864"/>
          <w:sz w:val="25"/>
          <w:szCs w:val="25"/>
        </w:rPr>
        <w:t>9</w:t>
      </w:r>
      <w:r w:rsidR="007B6EA9" w:rsidRPr="00645208">
        <w:rPr>
          <w:rFonts w:asciiTheme="minorHAnsi" w:hAnsiTheme="minorHAnsi" w:cstheme="minorHAnsi"/>
          <w:b/>
          <w:bCs/>
          <w:color w:val="1F3864"/>
          <w:sz w:val="25"/>
          <w:szCs w:val="25"/>
        </w:rPr>
        <w:t>. Business Rules</w:t>
      </w:r>
    </w:p>
    <w:tbl>
      <w:tblPr>
        <w:tblW w:w="9366" w:type="dxa"/>
        <w:tblInd w:w="75"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000"/>
      </w:tblPr>
      <w:tblGrid>
        <w:gridCol w:w="680"/>
        <w:gridCol w:w="8686"/>
      </w:tblGrid>
      <w:tr w:rsidR="00273A3F" w:rsidRPr="00645208" w:rsidTr="00356507">
        <w:trPr>
          <w:tblHeader/>
        </w:trPr>
        <w:tc>
          <w:tcPr>
            <w:tcW w:w="680" w:type="dxa"/>
            <w:shd w:val="clear" w:color="auto" w:fill="1F3864"/>
            <w:tcMar>
              <w:top w:w="50" w:type="dxa"/>
              <w:left w:w="85" w:type="dxa"/>
              <w:bottom w:w="50" w:type="dxa"/>
              <w:right w:w="85" w:type="dxa"/>
            </w:tcMar>
          </w:tcPr>
          <w:p w:rsidR="00273A3F" w:rsidRPr="00645208" w:rsidRDefault="007B6EA9" w:rsidP="002B3ECA">
            <w:pPr>
              <w:spacing w:line="360" w:lineRule="auto"/>
              <w:jc w:val="both"/>
              <w:rPr>
                <w:rFonts w:asciiTheme="minorHAnsi" w:hAnsiTheme="minorHAnsi" w:cstheme="minorHAnsi"/>
              </w:rPr>
            </w:pPr>
            <w:r w:rsidRPr="00645208">
              <w:rPr>
                <w:rFonts w:asciiTheme="minorHAnsi" w:hAnsiTheme="minorHAnsi" w:cstheme="minorHAnsi"/>
                <w:b/>
                <w:bCs/>
                <w:color w:val="FFFFFF"/>
                <w:sz w:val="18"/>
                <w:szCs w:val="18"/>
              </w:rPr>
              <w:t>ID</w:t>
            </w:r>
          </w:p>
        </w:tc>
        <w:tc>
          <w:tcPr>
            <w:tcW w:w="8686" w:type="dxa"/>
            <w:shd w:val="clear" w:color="auto" w:fill="1F3864"/>
            <w:tcMar>
              <w:top w:w="50" w:type="dxa"/>
              <w:left w:w="85" w:type="dxa"/>
              <w:bottom w:w="50" w:type="dxa"/>
              <w:right w:w="85" w:type="dxa"/>
            </w:tcMar>
          </w:tcPr>
          <w:p w:rsidR="00273A3F" w:rsidRPr="00645208" w:rsidRDefault="007B6EA9" w:rsidP="002B3ECA">
            <w:pPr>
              <w:spacing w:line="360" w:lineRule="auto"/>
              <w:jc w:val="both"/>
              <w:rPr>
                <w:rFonts w:asciiTheme="minorHAnsi" w:hAnsiTheme="minorHAnsi" w:cstheme="minorHAnsi"/>
              </w:rPr>
            </w:pPr>
            <w:r w:rsidRPr="00645208">
              <w:rPr>
                <w:rFonts w:asciiTheme="minorHAnsi" w:hAnsiTheme="minorHAnsi" w:cstheme="minorHAnsi"/>
                <w:b/>
                <w:bCs/>
                <w:color w:val="FFFFFF"/>
                <w:sz w:val="18"/>
                <w:szCs w:val="18"/>
              </w:rPr>
              <w:t>Business Rule</w:t>
            </w:r>
          </w:p>
        </w:tc>
      </w:tr>
      <w:tr w:rsidR="00273A3F" w:rsidRPr="00645208" w:rsidTr="00356507">
        <w:tc>
          <w:tcPr>
            <w:tcW w:w="680" w:type="dxa"/>
            <w:tcMar>
              <w:top w:w="50" w:type="dxa"/>
              <w:left w:w="85" w:type="dxa"/>
              <w:bottom w:w="50" w:type="dxa"/>
              <w:right w:w="85" w:type="dxa"/>
            </w:tcMar>
          </w:tcPr>
          <w:p w:rsidR="00273A3F" w:rsidRPr="00645208" w:rsidRDefault="007B6EA9" w:rsidP="002B3ECA">
            <w:pPr>
              <w:spacing w:line="360" w:lineRule="auto"/>
              <w:jc w:val="both"/>
              <w:rPr>
                <w:rFonts w:asciiTheme="minorHAnsi" w:hAnsiTheme="minorHAnsi" w:cstheme="minorHAnsi"/>
              </w:rPr>
            </w:pPr>
            <w:r w:rsidRPr="00645208">
              <w:rPr>
                <w:rFonts w:asciiTheme="minorHAnsi" w:hAnsiTheme="minorHAnsi" w:cstheme="minorHAnsi"/>
                <w:sz w:val="18"/>
                <w:szCs w:val="18"/>
              </w:rPr>
              <w:t>BR-1</w:t>
            </w:r>
          </w:p>
        </w:tc>
        <w:tc>
          <w:tcPr>
            <w:tcW w:w="8686" w:type="dxa"/>
            <w:tcMar>
              <w:top w:w="50" w:type="dxa"/>
              <w:left w:w="85" w:type="dxa"/>
              <w:bottom w:w="50" w:type="dxa"/>
              <w:right w:w="85" w:type="dxa"/>
            </w:tcMar>
          </w:tcPr>
          <w:p w:rsidR="00273A3F" w:rsidRPr="00645208" w:rsidRDefault="007B6EA9" w:rsidP="002B3ECA">
            <w:pPr>
              <w:spacing w:line="360" w:lineRule="auto"/>
              <w:jc w:val="both"/>
              <w:rPr>
                <w:rFonts w:asciiTheme="minorHAnsi" w:hAnsiTheme="minorHAnsi" w:cstheme="minorHAnsi"/>
              </w:rPr>
            </w:pPr>
            <w:r w:rsidRPr="00645208">
              <w:rPr>
                <w:rFonts w:asciiTheme="minorHAnsi" w:hAnsiTheme="minorHAnsi" w:cstheme="minorHAnsi"/>
                <w:sz w:val="18"/>
                <w:szCs w:val="18"/>
              </w:rPr>
              <w:t xml:space="preserve">The narration layer may improve readability and structure but may never calculate a metric, write a query, or derive </w:t>
            </w:r>
            <w:r w:rsidRPr="00645208">
              <w:rPr>
                <w:rFonts w:asciiTheme="minorHAnsi" w:hAnsiTheme="minorHAnsi" w:cstheme="minorHAnsi"/>
                <w:sz w:val="18"/>
                <w:szCs w:val="18"/>
              </w:rPr>
              <w:lastRenderedPageBreak/>
              <w:t>a KPI.</w:t>
            </w:r>
          </w:p>
        </w:tc>
      </w:tr>
      <w:tr w:rsidR="00273A3F" w:rsidRPr="00645208" w:rsidTr="00356507">
        <w:tc>
          <w:tcPr>
            <w:tcW w:w="680" w:type="dxa"/>
            <w:tcMar>
              <w:top w:w="50" w:type="dxa"/>
              <w:left w:w="85" w:type="dxa"/>
              <w:bottom w:w="50" w:type="dxa"/>
              <w:right w:w="85" w:type="dxa"/>
            </w:tcMar>
          </w:tcPr>
          <w:p w:rsidR="00273A3F" w:rsidRPr="00645208" w:rsidRDefault="007B6EA9" w:rsidP="002B3ECA">
            <w:pPr>
              <w:spacing w:line="360" w:lineRule="auto"/>
              <w:jc w:val="both"/>
              <w:rPr>
                <w:rFonts w:asciiTheme="minorHAnsi" w:hAnsiTheme="minorHAnsi" w:cstheme="minorHAnsi"/>
              </w:rPr>
            </w:pPr>
            <w:r w:rsidRPr="00645208">
              <w:rPr>
                <w:rFonts w:asciiTheme="minorHAnsi" w:hAnsiTheme="minorHAnsi" w:cstheme="minorHAnsi"/>
                <w:sz w:val="18"/>
                <w:szCs w:val="18"/>
              </w:rPr>
              <w:lastRenderedPageBreak/>
              <w:t>BR-2</w:t>
            </w:r>
          </w:p>
        </w:tc>
        <w:tc>
          <w:tcPr>
            <w:tcW w:w="8686" w:type="dxa"/>
            <w:tcMar>
              <w:top w:w="50" w:type="dxa"/>
              <w:left w:w="85" w:type="dxa"/>
              <w:bottom w:w="50" w:type="dxa"/>
              <w:right w:w="85" w:type="dxa"/>
            </w:tcMar>
          </w:tcPr>
          <w:p w:rsidR="00273A3F" w:rsidRPr="00645208" w:rsidRDefault="007B6EA9" w:rsidP="002B3ECA">
            <w:pPr>
              <w:spacing w:line="360" w:lineRule="auto"/>
              <w:jc w:val="both"/>
              <w:rPr>
                <w:rFonts w:asciiTheme="minorHAnsi" w:hAnsiTheme="minorHAnsi" w:cstheme="minorHAnsi"/>
              </w:rPr>
            </w:pPr>
            <w:r w:rsidRPr="00645208">
              <w:rPr>
                <w:rFonts w:asciiTheme="minorHAnsi" w:hAnsiTheme="minorHAnsi" w:cstheme="minorHAnsi"/>
                <w:sz w:val="18"/>
                <w:szCs w:val="18"/>
              </w:rPr>
              <w:t>Deterministic status and direction labels must be used exactly as supplied; the narration layer may not substitute synonymous language.</w:t>
            </w:r>
          </w:p>
        </w:tc>
      </w:tr>
      <w:tr w:rsidR="00273A3F" w:rsidRPr="00645208" w:rsidTr="00356507">
        <w:tc>
          <w:tcPr>
            <w:tcW w:w="680" w:type="dxa"/>
            <w:tcMar>
              <w:top w:w="50" w:type="dxa"/>
              <w:left w:w="85" w:type="dxa"/>
              <w:bottom w:w="50" w:type="dxa"/>
              <w:right w:w="85" w:type="dxa"/>
            </w:tcMar>
          </w:tcPr>
          <w:p w:rsidR="00273A3F" w:rsidRPr="00645208" w:rsidRDefault="007B6EA9" w:rsidP="002B3ECA">
            <w:pPr>
              <w:spacing w:line="360" w:lineRule="auto"/>
              <w:jc w:val="both"/>
              <w:rPr>
                <w:rFonts w:asciiTheme="minorHAnsi" w:hAnsiTheme="minorHAnsi" w:cstheme="minorHAnsi"/>
              </w:rPr>
            </w:pPr>
            <w:r w:rsidRPr="00645208">
              <w:rPr>
                <w:rFonts w:asciiTheme="minorHAnsi" w:hAnsiTheme="minorHAnsi" w:cstheme="minorHAnsi"/>
                <w:sz w:val="18"/>
                <w:szCs w:val="18"/>
              </w:rPr>
              <w:t>BR-3</w:t>
            </w:r>
          </w:p>
        </w:tc>
        <w:tc>
          <w:tcPr>
            <w:tcW w:w="8686" w:type="dxa"/>
            <w:tcMar>
              <w:top w:w="50" w:type="dxa"/>
              <w:left w:w="85" w:type="dxa"/>
              <w:bottom w:w="50" w:type="dxa"/>
              <w:right w:w="85" w:type="dxa"/>
            </w:tcMar>
          </w:tcPr>
          <w:p w:rsidR="00273A3F" w:rsidRPr="00645208" w:rsidRDefault="007B6EA9" w:rsidP="002B3ECA">
            <w:pPr>
              <w:spacing w:line="360" w:lineRule="auto"/>
              <w:jc w:val="both"/>
              <w:rPr>
                <w:rFonts w:asciiTheme="minorHAnsi" w:hAnsiTheme="minorHAnsi" w:cstheme="minorHAnsi"/>
              </w:rPr>
            </w:pPr>
            <w:r w:rsidRPr="00645208">
              <w:rPr>
                <w:rFonts w:asciiTheme="minorHAnsi" w:hAnsiTheme="minorHAnsi" w:cstheme="minorHAnsi"/>
                <w:sz w:val="18"/>
                <w:szCs w:val="18"/>
              </w:rPr>
              <w:t>A metric with no supplied comparison must be reported descriptively; trend language may not be applied to a single reporting period.</w:t>
            </w:r>
          </w:p>
        </w:tc>
      </w:tr>
      <w:tr w:rsidR="00273A3F" w:rsidRPr="00645208" w:rsidTr="00356507">
        <w:tc>
          <w:tcPr>
            <w:tcW w:w="680" w:type="dxa"/>
            <w:tcMar>
              <w:top w:w="50" w:type="dxa"/>
              <w:left w:w="85" w:type="dxa"/>
              <w:bottom w:w="50" w:type="dxa"/>
              <w:right w:w="85" w:type="dxa"/>
            </w:tcMar>
          </w:tcPr>
          <w:p w:rsidR="00273A3F" w:rsidRPr="00645208" w:rsidRDefault="007B6EA9" w:rsidP="002B3ECA">
            <w:pPr>
              <w:spacing w:line="360" w:lineRule="auto"/>
              <w:jc w:val="both"/>
              <w:rPr>
                <w:rFonts w:asciiTheme="minorHAnsi" w:hAnsiTheme="minorHAnsi" w:cstheme="minorHAnsi"/>
              </w:rPr>
            </w:pPr>
            <w:r w:rsidRPr="00645208">
              <w:rPr>
                <w:rFonts w:asciiTheme="minorHAnsi" w:hAnsiTheme="minorHAnsi" w:cstheme="minorHAnsi"/>
                <w:sz w:val="18"/>
                <w:szCs w:val="18"/>
              </w:rPr>
              <w:t>BR-4</w:t>
            </w:r>
          </w:p>
        </w:tc>
        <w:tc>
          <w:tcPr>
            <w:tcW w:w="8686" w:type="dxa"/>
            <w:tcMar>
              <w:top w:w="50" w:type="dxa"/>
              <w:left w:w="85" w:type="dxa"/>
              <w:bottom w:w="50" w:type="dxa"/>
              <w:right w:w="85" w:type="dxa"/>
            </w:tcMar>
          </w:tcPr>
          <w:p w:rsidR="00273A3F" w:rsidRPr="00645208" w:rsidRDefault="007B6EA9" w:rsidP="002B3ECA">
            <w:pPr>
              <w:spacing w:line="360" w:lineRule="auto"/>
              <w:jc w:val="both"/>
              <w:rPr>
                <w:rFonts w:asciiTheme="minorHAnsi" w:hAnsiTheme="minorHAnsi" w:cstheme="minorHAnsi"/>
              </w:rPr>
            </w:pPr>
            <w:r w:rsidRPr="00645208">
              <w:rPr>
                <w:rFonts w:asciiTheme="minorHAnsi" w:hAnsiTheme="minorHAnsi" w:cstheme="minorHAnsi"/>
                <w:sz w:val="18"/>
                <w:szCs w:val="18"/>
              </w:rPr>
              <w:t>A reporting period may not be described as a baseline or benchmark unless deterministic analytics explicitly designates it as such.</w:t>
            </w:r>
          </w:p>
        </w:tc>
      </w:tr>
      <w:tr w:rsidR="00273A3F" w:rsidRPr="00645208" w:rsidTr="00356507">
        <w:tc>
          <w:tcPr>
            <w:tcW w:w="680" w:type="dxa"/>
            <w:tcMar>
              <w:top w:w="50" w:type="dxa"/>
              <w:left w:w="85" w:type="dxa"/>
              <w:bottom w:w="50" w:type="dxa"/>
              <w:right w:w="85" w:type="dxa"/>
            </w:tcMar>
          </w:tcPr>
          <w:p w:rsidR="00273A3F" w:rsidRPr="00645208" w:rsidRDefault="007B6EA9" w:rsidP="002B3ECA">
            <w:pPr>
              <w:spacing w:line="360" w:lineRule="auto"/>
              <w:jc w:val="both"/>
              <w:rPr>
                <w:rFonts w:asciiTheme="minorHAnsi" w:hAnsiTheme="minorHAnsi" w:cstheme="minorHAnsi"/>
              </w:rPr>
            </w:pPr>
            <w:r w:rsidRPr="00645208">
              <w:rPr>
                <w:rFonts w:asciiTheme="minorHAnsi" w:hAnsiTheme="minorHAnsi" w:cstheme="minorHAnsi"/>
                <w:sz w:val="18"/>
                <w:szCs w:val="18"/>
              </w:rPr>
              <w:t>BR-5</w:t>
            </w:r>
          </w:p>
        </w:tc>
        <w:tc>
          <w:tcPr>
            <w:tcW w:w="8686" w:type="dxa"/>
            <w:tcMar>
              <w:top w:w="50" w:type="dxa"/>
              <w:left w:w="85" w:type="dxa"/>
              <w:bottom w:w="50" w:type="dxa"/>
              <w:right w:w="85" w:type="dxa"/>
            </w:tcMar>
          </w:tcPr>
          <w:p w:rsidR="00273A3F" w:rsidRPr="00645208" w:rsidRDefault="007B6EA9" w:rsidP="002B3ECA">
            <w:pPr>
              <w:spacing w:line="360" w:lineRule="auto"/>
              <w:jc w:val="both"/>
              <w:rPr>
                <w:rFonts w:asciiTheme="minorHAnsi" w:hAnsiTheme="minorHAnsi" w:cstheme="minorHAnsi"/>
              </w:rPr>
            </w:pPr>
            <w:r w:rsidRPr="00645208">
              <w:rPr>
                <w:rFonts w:asciiTheme="minorHAnsi" w:hAnsiTheme="minorHAnsi" w:cstheme="minorHAnsi"/>
                <w:sz w:val="18"/>
                <w:szCs w:val="18"/>
              </w:rPr>
              <w:t>Co-occurring findings may be reported together, but a causal or predictive relationship may only be stated if deterministic analytics explicitly supplies it.</w:t>
            </w:r>
          </w:p>
        </w:tc>
      </w:tr>
      <w:tr w:rsidR="00273A3F" w:rsidRPr="00645208" w:rsidTr="00356507">
        <w:tc>
          <w:tcPr>
            <w:tcW w:w="680" w:type="dxa"/>
            <w:tcMar>
              <w:top w:w="50" w:type="dxa"/>
              <w:left w:w="85" w:type="dxa"/>
              <w:bottom w:w="50" w:type="dxa"/>
              <w:right w:w="85" w:type="dxa"/>
            </w:tcMar>
          </w:tcPr>
          <w:p w:rsidR="00273A3F" w:rsidRPr="00645208" w:rsidRDefault="007B6EA9" w:rsidP="002B3ECA">
            <w:pPr>
              <w:spacing w:line="360" w:lineRule="auto"/>
              <w:jc w:val="both"/>
              <w:rPr>
                <w:rFonts w:asciiTheme="minorHAnsi" w:hAnsiTheme="minorHAnsi" w:cstheme="minorHAnsi"/>
              </w:rPr>
            </w:pPr>
            <w:r w:rsidRPr="00645208">
              <w:rPr>
                <w:rFonts w:asciiTheme="minorHAnsi" w:hAnsiTheme="minorHAnsi" w:cstheme="minorHAnsi"/>
                <w:sz w:val="18"/>
                <w:szCs w:val="18"/>
              </w:rPr>
              <w:t>BR-6</w:t>
            </w:r>
          </w:p>
        </w:tc>
        <w:tc>
          <w:tcPr>
            <w:tcW w:w="8686" w:type="dxa"/>
            <w:tcMar>
              <w:top w:w="50" w:type="dxa"/>
              <w:left w:w="85" w:type="dxa"/>
              <w:bottom w:w="50" w:type="dxa"/>
              <w:right w:w="85" w:type="dxa"/>
            </w:tcMar>
          </w:tcPr>
          <w:p w:rsidR="00273A3F" w:rsidRPr="00645208" w:rsidRDefault="007B6EA9" w:rsidP="002B3ECA">
            <w:pPr>
              <w:spacing w:line="360" w:lineRule="auto"/>
              <w:jc w:val="both"/>
              <w:rPr>
                <w:rFonts w:asciiTheme="minorHAnsi" w:hAnsiTheme="minorHAnsi" w:cstheme="minorHAnsi"/>
              </w:rPr>
            </w:pPr>
            <w:r w:rsidRPr="00645208">
              <w:rPr>
                <w:rFonts w:asciiTheme="minorHAnsi" w:hAnsiTheme="minorHAnsi" w:cstheme="minorHAnsi"/>
                <w:sz w:val="18"/>
                <w:szCs w:val="18"/>
              </w:rPr>
              <w:t>Diagnostic rankings identify top or bottom contributors only; recommendations may not imply that the top contributor represents poor performance.</w:t>
            </w:r>
          </w:p>
        </w:tc>
      </w:tr>
      <w:tr w:rsidR="00273A3F" w:rsidRPr="00645208" w:rsidTr="00356507">
        <w:tc>
          <w:tcPr>
            <w:tcW w:w="680" w:type="dxa"/>
            <w:tcMar>
              <w:top w:w="50" w:type="dxa"/>
              <w:left w:w="85" w:type="dxa"/>
              <w:bottom w:w="50" w:type="dxa"/>
              <w:right w:w="85" w:type="dxa"/>
            </w:tcMar>
          </w:tcPr>
          <w:p w:rsidR="00273A3F" w:rsidRPr="00645208" w:rsidRDefault="007B6EA9" w:rsidP="002B3ECA">
            <w:pPr>
              <w:spacing w:line="360" w:lineRule="auto"/>
              <w:jc w:val="both"/>
              <w:rPr>
                <w:rFonts w:asciiTheme="minorHAnsi" w:hAnsiTheme="minorHAnsi" w:cstheme="minorHAnsi"/>
                <w:sz w:val="18"/>
                <w:szCs w:val="18"/>
              </w:rPr>
            </w:pPr>
            <w:r w:rsidRPr="00645208">
              <w:rPr>
                <w:rFonts w:asciiTheme="minorHAnsi" w:hAnsiTheme="minorHAnsi" w:cstheme="minorHAnsi"/>
                <w:sz w:val="18"/>
                <w:szCs w:val="18"/>
              </w:rPr>
              <w:t>BR-7</w:t>
            </w:r>
          </w:p>
        </w:tc>
        <w:tc>
          <w:tcPr>
            <w:tcW w:w="8686" w:type="dxa"/>
            <w:tcMar>
              <w:top w:w="50" w:type="dxa"/>
              <w:left w:w="85" w:type="dxa"/>
              <w:bottom w:w="50" w:type="dxa"/>
              <w:right w:w="85" w:type="dxa"/>
            </w:tcMar>
          </w:tcPr>
          <w:p w:rsidR="00273A3F" w:rsidRPr="00645208" w:rsidRDefault="007B6EA9" w:rsidP="002B3ECA">
            <w:pPr>
              <w:spacing w:line="360" w:lineRule="auto"/>
              <w:jc w:val="both"/>
              <w:rPr>
                <w:rFonts w:asciiTheme="minorHAnsi" w:hAnsiTheme="minorHAnsi" w:cstheme="minorHAnsi"/>
                <w:sz w:val="18"/>
                <w:szCs w:val="18"/>
              </w:rPr>
            </w:pPr>
            <w:r w:rsidRPr="00645208">
              <w:rPr>
                <w:rFonts w:asciiTheme="minorHAnsi" w:hAnsiTheme="minorHAnsi" w:cstheme="minorHAnsi"/>
                <w:sz w:val="18"/>
                <w:szCs w:val="18"/>
              </w:rPr>
              <w:t>Recommendations must align with the specific metric each diagnostic represents, and may not include optimization, automation, staffing, or budget changes unless deterministic findings explicitly justify them.</w:t>
            </w:r>
          </w:p>
        </w:tc>
      </w:tr>
      <w:tr w:rsidR="00273A3F" w:rsidRPr="00645208" w:rsidTr="00356507">
        <w:tc>
          <w:tcPr>
            <w:tcW w:w="680" w:type="dxa"/>
            <w:tcMar>
              <w:top w:w="50" w:type="dxa"/>
              <w:left w:w="85" w:type="dxa"/>
              <w:bottom w:w="50" w:type="dxa"/>
              <w:right w:w="85" w:type="dxa"/>
            </w:tcMar>
          </w:tcPr>
          <w:p w:rsidR="00273A3F" w:rsidRPr="00645208" w:rsidRDefault="007B6EA9" w:rsidP="002B3ECA">
            <w:pPr>
              <w:spacing w:line="360" w:lineRule="auto"/>
              <w:jc w:val="both"/>
              <w:rPr>
                <w:rFonts w:asciiTheme="minorHAnsi" w:hAnsiTheme="minorHAnsi" w:cstheme="minorHAnsi"/>
                <w:sz w:val="18"/>
                <w:szCs w:val="18"/>
              </w:rPr>
            </w:pPr>
            <w:r w:rsidRPr="00645208">
              <w:rPr>
                <w:rFonts w:asciiTheme="minorHAnsi" w:hAnsiTheme="minorHAnsi" w:cstheme="minorHAnsi"/>
                <w:sz w:val="18"/>
                <w:szCs w:val="18"/>
              </w:rPr>
              <w:t>BR-8</w:t>
            </w:r>
          </w:p>
        </w:tc>
        <w:tc>
          <w:tcPr>
            <w:tcW w:w="8686" w:type="dxa"/>
            <w:tcMar>
              <w:top w:w="50" w:type="dxa"/>
              <w:left w:w="85" w:type="dxa"/>
              <w:bottom w:w="50" w:type="dxa"/>
              <w:right w:w="85" w:type="dxa"/>
            </w:tcMar>
          </w:tcPr>
          <w:p w:rsidR="00273A3F" w:rsidRPr="00645208" w:rsidRDefault="007B6EA9" w:rsidP="002B3ECA">
            <w:pPr>
              <w:spacing w:line="360" w:lineRule="auto"/>
              <w:jc w:val="both"/>
              <w:rPr>
                <w:rFonts w:asciiTheme="minorHAnsi" w:hAnsiTheme="minorHAnsi" w:cstheme="minorHAnsi"/>
                <w:sz w:val="18"/>
                <w:szCs w:val="18"/>
              </w:rPr>
            </w:pPr>
            <w:r w:rsidRPr="00645208">
              <w:rPr>
                <w:rFonts w:asciiTheme="minorHAnsi" w:hAnsiTheme="minorHAnsi" w:cstheme="minorHAnsi"/>
                <w:sz w:val="18"/>
                <w:szCs w:val="18"/>
              </w:rPr>
              <w:t>A reporting limitation shared across multiple metrics is stated once, in the earliest relevant section, rather than repeated throughout the report.</w:t>
            </w:r>
          </w:p>
        </w:tc>
      </w:tr>
    </w:tbl>
    <w:p w:rsidR="00273A3F" w:rsidRPr="00645208" w:rsidRDefault="002B3ECA" w:rsidP="002B3ECA">
      <w:pPr>
        <w:pStyle w:val="Heading2"/>
        <w:pBdr>
          <w:bottom w:val="single" w:sz="6" w:space="4" w:color="1F3864"/>
        </w:pBdr>
        <w:spacing w:before="200" w:after="90" w:line="360" w:lineRule="auto"/>
        <w:jc w:val="both"/>
        <w:rPr>
          <w:rFonts w:asciiTheme="minorHAnsi" w:hAnsiTheme="minorHAnsi" w:cstheme="minorHAnsi"/>
        </w:rPr>
      </w:pPr>
      <w:r>
        <w:rPr>
          <w:rFonts w:asciiTheme="minorHAnsi" w:hAnsiTheme="minorHAnsi" w:cstheme="minorHAnsi"/>
          <w:b/>
          <w:bCs/>
          <w:color w:val="1F3864"/>
          <w:sz w:val="25"/>
          <w:szCs w:val="25"/>
        </w:rPr>
        <w:t>10</w:t>
      </w:r>
      <w:r w:rsidR="007B6EA9" w:rsidRPr="00645208">
        <w:rPr>
          <w:rFonts w:asciiTheme="minorHAnsi" w:hAnsiTheme="minorHAnsi" w:cstheme="minorHAnsi"/>
          <w:b/>
          <w:bCs/>
          <w:color w:val="1F3864"/>
          <w:sz w:val="25"/>
          <w:szCs w:val="25"/>
        </w:rPr>
        <w:t>. Solution Overview</w:t>
      </w:r>
    </w:p>
    <w:p w:rsidR="00273A3F" w:rsidRPr="00645208" w:rsidRDefault="007B6EA9" w:rsidP="002B3ECA">
      <w:pPr>
        <w:spacing w:after="110" w:line="360" w:lineRule="auto"/>
        <w:jc w:val="both"/>
        <w:rPr>
          <w:rFonts w:asciiTheme="minorHAnsi" w:hAnsiTheme="minorHAnsi" w:cstheme="minorHAnsi"/>
          <w:sz w:val="18"/>
          <w:szCs w:val="18"/>
        </w:rPr>
      </w:pPr>
      <w:r w:rsidRPr="00645208">
        <w:rPr>
          <w:rFonts w:asciiTheme="minorHAnsi" w:hAnsiTheme="minorHAnsi" w:cstheme="minorHAnsi"/>
          <w:sz w:val="18"/>
          <w:szCs w:val="18"/>
        </w:rPr>
        <w:t>InsightForge is structured as a pipeline moving from raw data to executive communication, with each stage owning a single responsibility: SQL Analytics, a Deterministic KPI Engine, a Business Interpretation Layer, and an Executive Narration Layer built on Claude.</w:t>
      </w:r>
    </w:p>
    <w:p w:rsidR="00273A3F" w:rsidRPr="00645208" w:rsidRDefault="007B6EA9" w:rsidP="002B3ECA">
      <w:pPr>
        <w:spacing w:after="110" w:line="360" w:lineRule="auto"/>
        <w:jc w:val="both"/>
        <w:rPr>
          <w:rFonts w:asciiTheme="minorHAnsi" w:hAnsiTheme="minorHAnsi" w:cstheme="minorHAnsi"/>
          <w:sz w:val="18"/>
          <w:szCs w:val="18"/>
        </w:rPr>
      </w:pPr>
      <w:r w:rsidRPr="00645208">
        <w:rPr>
          <w:rFonts w:asciiTheme="minorHAnsi" w:hAnsiTheme="minorHAnsi" w:cstheme="minorHAnsi"/>
          <w:sz w:val="18"/>
          <w:szCs w:val="18"/>
        </w:rPr>
        <w:t>SQL performs all aggregation against a configured database view. The KPI Engine computes each defined metric — either as a direct aggregation or a configured formula — and acts as the single source of truth for reported values. The Business Interpretation Layer applies deterministic rules to classify status where thresholds exist, generate diagnostic rankings, and produce comparison data where configured. Only after a finding has passed through these layers does it reach the Executive Narration Layer, which converts it into executive language without altering its meaning or strength.</w:t>
      </w:r>
    </w:p>
    <w:p w:rsidR="008870E8" w:rsidRPr="00645208" w:rsidRDefault="007B6EA9" w:rsidP="002B3ECA">
      <w:pPr>
        <w:spacing w:after="110" w:line="360" w:lineRule="auto"/>
        <w:jc w:val="both"/>
        <w:rPr>
          <w:rFonts w:asciiTheme="minorHAnsi" w:hAnsiTheme="minorHAnsi" w:cstheme="minorHAnsi"/>
          <w:sz w:val="18"/>
          <w:szCs w:val="18"/>
        </w:rPr>
      </w:pPr>
      <w:r w:rsidRPr="00645208">
        <w:rPr>
          <w:rFonts w:asciiTheme="minorHAnsi" w:hAnsiTheme="minorHAnsi" w:cstheme="minorHAnsi"/>
          <w:sz w:val="18"/>
          <w:szCs w:val="18"/>
        </w:rPr>
        <w:t>The same pipeline supports both implemented domains, and the difference between them illustrates how the platform is intended to scale. For Retail Sales Analytics, no thresholds are configured, so all findings are reported descriptively. For Telecom Service Assurance Analytics, at least one metric — SLA breach rate — has configured thresholds and a period-over-period comparison, allowing the same engine to produce a Good, Warning, or Critical classification and a trend direction where the retail configuration cannot. This difference is a product of configuration, not of separate code paths</w:t>
      </w:r>
      <w:r w:rsidR="008870E8" w:rsidRPr="00645208">
        <w:rPr>
          <w:rFonts w:asciiTheme="minorHAnsi" w:hAnsiTheme="minorHAnsi" w:cstheme="minorHAnsi"/>
          <w:sz w:val="18"/>
          <w:szCs w:val="18"/>
        </w:rPr>
        <w:t>.</w:t>
      </w:r>
    </w:p>
    <w:p w:rsidR="002B3ECA" w:rsidRDefault="002B3ECA" w:rsidP="002B3ECA">
      <w:pPr>
        <w:pStyle w:val="Heading2"/>
        <w:pBdr>
          <w:bottom w:val="single" w:sz="6" w:space="4" w:color="1F3864"/>
        </w:pBdr>
        <w:spacing w:before="200" w:after="90" w:line="360" w:lineRule="auto"/>
        <w:jc w:val="both"/>
        <w:rPr>
          <w:rFonts w:asciiTheme="minorHAnsi" w:hAnsiTheme="minorHAnsi" w:cstheme="minorHAnsi"/>
        </w:rPr>
      </w:pPr>
      <w:r>
        <w:rPr>
          <w:rFonts w:asciiTheme="minorHAnsi" w:hAnsiTheme="minorHAnsi" w:cstheme="minorHAnsi"/>
          <w:b/>
          <w:bCs/>
          <w:color w:val="1F3864"/>
          <w:sz w:val="25"/>
          <w:szCs w:val="25"/>
        </w:rPr>
        <w:t>11</w:t>
      </w:r>
      <w:r w:rsidR="00BB25BC">
        <w:rPr>
          <w:rFonts w:asciiTheme="minorHAnsi" w:hAnsiTheme="minorHAnsi" w:cstheme="minorHAnsi"/>
          <w:b/>
          <w:bCs/>
          <w:color w:val="1F3864"/>
          <w:sz w:val="25"/>
          <w:szCs w:val="25"/>
        </w:rPr>
        <w:t>. System</w:t>
      </w:r>
      <w:r w:rsidR="007B6EA9" w:rsidRPr="00645208">
        <w:rPr>
          <w:rFonts w:asciiTheme="minorHAnsi" w:hAnsiTheme="minorHAnsi" w:cstheme="minorHAnsi"/>
          <w:b/>
          <w:bCs/>
          <w:color w:val="1F3864"/>
          <w:sz w:val="25"/>
          <w:szCs w:val="25"/>
        </w:rPr>
        <w:t xml:space="preserve"> Architecture</w:t>
      </w:r>
    </w:p>
    <w:p w:rsidR="002B3ECA" w:rsidRDefault="002B3ECA" w:rsidP="002B3ECA">
      <w:pPr>
        <w:spacing w:line="360" w:lineRule="auto"/>
      </w:pPr>
    </w:p>
    <w:p w:rsidR="00273A3F" w:rsidRPr="002B3ECA" w:rsidRDefault="002B3ECA" w:rsidP="002B3ECA">
      <w:pPr>
        <w:tabs>
          <w:tab w:val="left" w:pos="3970"/>
        </w:tabs>
        <w:spacing w:line="360" w:lineRule="auto"/>
      </w:pPr>
      <w:r>
        <w:tab/>
      </w:r>
    </w:p>
    <w:p w:rsidR="00273A3F" w:rsidRPr="00645208" w:rsidRDefault="008870E8" w:rsidP="002B3ECA">
      <w:pPr>
        <w:spacing w:after="90" w:line="360" w:lineRule="auto"/>
        <w:jc w:val="center"/>
        <w:rPr>
          <w:rFonts w:asciiTheme="minorHAnsi" w:hAnsiTheme="minorHAnsi" w:cstheme="minorHAnsi"/>
        </w:rPr>
      </w:pPr>
      <w:r w:rsidRPr="00645208">
        <w:rPr>
          <w:rFonts w:asciiTheme="minorHAnsi" w:hAnsiTheme="minorHAnsi" w:cstheme="minorHAnsi"/>
          <w:noProof/>
        </w:rPr>
        <w:lastRenderedPageBreak/>
        <w:drawing>
          <wp:inline distT="0" distB="0" distL="0" distR="0">
            <wp:extent cx="2796075" cy="4947138"/>
            <wp:effectExtent l="19050" t="0" r="4275" b="0"/>
            <wp:docPr id="4" name="Picture 3" descr="C:\Users\Dead By Sunrise\Desktop\New folder\New folder\Achitecture.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Dead By Sunrise\Desktop\New folder\New folder\Achitecture.drawio.png"/>
                    <pic:cNvPicPr>
                      <a:picLocks noChangeAspect="1" noChangeArrowheads="1"/>
                    </pic:cNvPicPr>
                  </pic:nvPicPr>
                  <pic:blipFill>
                    <a:blip r:embed="rId7" cstate="print"/>
                    <a:srcRect/>
                    <a:stretch>
                      <a:fillRect/>
                    </a:stretch>
                  </pic:blipFill>
                  <pic:spPr bwMode="auto">
                    <a:xfrm>
                      <a:off x="0" y="0"/>
                      <a:ext cx="2796075" cy="4947138"/>
                    </a:xfrm>
                    <a:prstGeom prst="rect">
                      <a:avLst/>
                    </a:prstGeom>
                    <a:noFill/>
                    <a:ln w="9525">
                      <a:noFill/>
                      <a:miter lim="800000"/>
                      <a:headEnd/>
                      <a:tailEnd/>
                    </a:ln>
                  </pic:spPr>
                </pic:pic>
              </a:graphicData>
            </a:graphic>
          </wp:inline>
        </w:drawing>
      </w:r>
    </w:p>
    <w:p w:rsidR="00645208" w:rsidRPr="00645208" w:rsidRDefault="00645208" w:rsidP="002B3ECA">
      <w:pPr>
        <w:spacing w:after="90" w:line="360" w:lineRule="auto"/>
        <w:jc w:val="center"/>
        <w:rPr>
          <w:rFonts w:asciiTheme="minorHAnsi" w:hAnsiTheme="minorHAnsi" w:cstheme="minorHAnsi"/>
        </w:rPr>
      </w:pPr>
    </w:p>
    <w:p w:rsidR="00645208" w:rsidRPr="00645208" w:rsidRDefault="00645208" w:rsidP="002B3ECA">
      <w:pPr>
        <w:spacing w:after="90" w:line="360" w:lineRule="auto"/>
        <w:jc w:val="center"/>
        <w:rPr>
          <w:rFonts w:asciiTheme="minorHAnsi" w:hAnsiTheme="minorHAnsi" w:cstheme="minorHAnsi"/>
        </w:rPr>
      </w:pPr>
    </w:p>
    <w:tbl>
      <w:tblPr>
        <w:tblW w:w="9380" w:type="dxa"/>
        <w:tblInd w:w="75"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000"/>
      </w:tblPr>
      <w:tblGrid>
        <w:gridCol w:w="2080"/>
        <w:gridCol w:w="2600"/>
        <w:gridCol w:w="4700"/>
      </w:tblGrid>
      <w:tr w:rsidR="00273A3F" w:rsidRPr="00645208">
        <w:trPr>
          <w:tblHeader/>
        </w:trPr>
        <w:tc>
          <w:tcPr>
            <w:tcW w:w="2080" w:type="dxa"/>
            <w:shd w:val="clear" w:color="auto" w:fill="1F3864"/>
            <w:tcMar>
              <w:top w:w="50" w:type="dxa"/>
              <w:left w:w="85" w:type="dxa"/>
              <w:bottom w:w="50" w:type="dxa"/>
              <w:right w:w="85" w:type="dxa"/>
            </w:tcMar>
          </w:tcPr>
          <w:p w:rsidR="00273A3F" w:rsidRPr="00645208" w:rsidRDefault="007B6EA9" w:rsidP="002B3ECA">
            <w:pPr>
              <w:spacing w:line="360" w:lineRule="auto"/>
              <w:jc w:val="both"/>
              <w:rPr>
                <w:rFonts w:asciiTheme="minorHAnsi" w:hAnsiTheme="minorHAnsi" w:cstheme="minorHAnsi"/>
              </w:rPr>
            </w:pPr>
            <w:r w:rsidRPr="00645208">
              <w:rPr>
                <w:rFonts w:asciiTheme="minorHAnsi" w:hAnsiTheme="minorHAnsi" w:cstheme="minorHAnsi"/>
                <w:b/>
                <w:bCs/>
                <w:color w:val="FFFFFF"/>
                <w:sz w:val="18"/>
                <w:szCs w:val="18"/>
              </w:rPr>
              <w:t>Component</w:t>
            </w:r>
          </w:p>
        </w:tc>
        <w:tc>
          <w:tcPr>
            <w:tcW w:w="2600" w:type="dxa"/>
            <w:shd w:val="clear" w:color="auto" w:fill="1F3864"/>
            <w:tcMar>
              <w:top w:w="50" w:type="dxa"/>
              <w:left w:w="85" w:type="dxa"/>
              <w:bottom w:w="50" w:type="dxa"/>
              <w:right w:w="85" w:type="dxa"/>
            </w:tcMar>
          </w:tcPr>
          <w:p w:rsidR="00273A3F" w:rsidRPr="00645208" w:rsidRDefault="007B6EA9" w:rsidP="002B3ECA">
            <w:pPr>
              <w:spacing w:line="360" w:lineRule="auto"/>
              <w:jc w:val="both"/>
              <w:rPr>
                <w:rFonts w:asciiTheme="minorHAnsi" w:hAnsiTheme="minorHAnsi" w:cstheme="minorHAnsi"/>
              </w:rPr>
            </w:pPr>
            <w:r w:rsidRPr="00645208">
              <w:rPr>
                <w:rFonts w:asciiTheme="minorHAnsi" w:hAnsiTheme="minorHAnsi" w:cstheme="minorHAnsi"/>
                <w:b/>
                <w:bCs/>
                <w:color w:val="FFFFFF"/>
                <w:sz w:val="18"/>
                <w:szCs w:val="18"/>
              </w:rPr>
              <w:t>Technology</w:t>
            </w:r>
          </w:p>
        </w:tc>
        <w:tc>
          <w:tcPr>
            <w:tcW w:w="4700" w:type="dxa"/>
            <w:shd w:val="clear" w:color="auto" w:fill="1F3864"/>
            <w:tcMar>
              <w:top w:w="50" w:type="dxa"/>
              <w:left w:w="85" w:type="dxa"/>
              <w:bottom w:w="50" w:type="dxa"/>
              <w:right w:w="85" w:type="dxa"/>
            </w:tcMar>
          </w:tcPr>
          <w:p w:rsidR="00273A3F" w:rsidRPr="00645208" w:rsidRDefault="007B6EA9" w:rsidP="002B3ECA">
            <w:pPr>
              <w:spacing w:line="360" w:lineRule="auto"/>
              <w:jc w:val="both"/>
              <w:rPr>
                <w:rFonts w:asciiTheme="minorHAnsi" w:hAnsiTheme="minorHAnsi" w:cstheme="minorHAnsi"/>
              </w:rPr>
            </w:pPr>
            <w:r w:rsidRPr="00645208">
              <w:rPr>
                <w:rFonts w:asciiTheme="minorHAnsi" w:hAnsiTheme="minorHAnsi" w:cstheme="minorHAnsi"/>
                <w:b/>
                <w:bCs/>
                <w:color w:val="FFFFFF"/>
                <w:sz w:val="18"/>
                <w:szCs w:val="18"/>
              </w:rPr>
              <w:t>Responsibility</w:t>
            </w:r>
          </w:p>
        </w:tc>
      </w:tr>
      <w:tr w:rsidR="00273A3F" w:rsidRPr="00645208">
        <w:tc>
          <w:tcPr>
            <w:tcW w:w="2080" w:type="dxa"/>
            <w:tcMar>
              <w:top w:w="50" w:type="dxa"/>
              <w:left w:w="85" w:type="dxa"/>
              <w:bottom w:w="50" w:type="dxa"/>
              <w:right w:w="85" w:type="dxa"/>
            </w:tcMar>
          </w:tcPr>
          <w:p w:rsidR="00273A3F" w:rsidRPr="00645208" w:rsidRDefault="007B6EA9" w:rsidP="002B3ECA">
            <w:pPr>
              <w:spacing w:line="360" w:lineRule="auto"/>
              <w:jc w:val="both"/>
              <w:rPr>
                <w:rFonts w:asciiTheme="minorHAnsi" w:hAnsiTheme="minorHAnsi" w:cstheme="minorHAnsi"/>
                <w:sz w:val="18"/>
                <w:szCs w:val="18"/>
              </w:rPr>
            </w:pPr>
            <w:r w:rsidRPr="00645208">
              <w:rPr>
                <w:rFonts w:asciiTheme="minorHAnsi" w:hAnsiTheme="minorHAnsi" w:cstheme="minorHAnsi"/>
                <w:sz w:val="18"/>
                <w:szCs w:val="18"/>
              </w:rPr>
              <w:t>Database</w:t>
            </w:r>
          </w:p>
        </w:tc>
        <w:tc>
          <w:tcPr>
            <w:tcW w:w="2600" w:type="dxa"/>
            <w:tcMar>
              <w:top w:w="50" w:type="dxa"/>
              <w:left w:w="85" w:type="dxa"/>
              <w:bottom w:w="50" w:type="dxa"/>
              <w:right w:w="85" w:type="dxa"/>
            </w:tcMar>
          </w:tcPr>
          <w:p w:rsidR="00273A3F" w:rsidRPr="00645208" w:rsidRDefault="007B6EA9" w:rsidP="002B3ECA">
            <w:pPr>
              <w:spacing w:line="360" w:lineRule="auto"/>
              <w:jc w:val="both"/>
              <w:rPr>
                <w:rFonts w:asciiTheme="minorHAnsi" w:hAnsiTheme="minorHAnsi" w:cstheme="minorHAnsi"/>
                <w:sz w:val="18"/>
                <w:szCs w:val="18"/>
              </w:rPr>
            </w:pPr>
            <w:proofErr w:type="spellStart"/>
            <w:r w:rsidRPr="00645208">
              <w:rPr>
                <w:rFonts w:asciiTheme="minorHAnsi" w:hAnsiTheme="minorHAnsi" w:cstheme="minorHAnsi"/>
                <w:sz w:val="18"/>
                <w:szCs w:val="18"/>
              </w:rPr>
              <w:t>MySQL</w:t>
            </w:r>
            <w:proofErr w:type="spellEnd"/>
            <w:r w:rsidRPr="00645208">
              <w:rPr>
                <w:rFonts w:asciiTheme="minorHAnsi" w:hAnsiTheme="minorHAnsi" w:cstheme="minorHAnsi"/>
                <w:sz w:val="18"/>
                <w:szCs w:val="18"/>
              </w:rPr>
              <w:t xml:space="preserve"> (via </w:t>
            </w:r>
            <w:proofErr w:type="spellStart"/>
            <w:r w:rsidRPr="00645208">
              <w:rPr>
                <w:rFonts w:asciiTheme="minorHAnsi" w:hAnsiTheme="minorHAnsi" w:cstheme="minorHAnsi"/>
                <w:sz w:val="18"/>
                <w:szCs w:val="18"/>
              </w:rPr>
              <w:t>SQLAlchemy</w:t>
            </w:r>
            <w:proofErr w:type="spellEnd"/>
            <w:r w:rsidRPr="00645208">
              <w:rPr>
                <w:rFonts w:asciiTheme="minorHAnsi" w:hAnsiTheme="minorHAnsi" w:cstheme="minorHAnsi"/>
                <w:sz w:val="18"/>
                <w:szCs w:val="18"/>
              </w:rPr>
              <w:t xml:space="preserve">, </w:t>
            </w:r>
            <w:proofErr w:type="spellStart"/>
            <w:r w:rsidRPr="00645208">
              <w:rPr>
                <w:rFonts w:asciiTheme="minorHAnsi" w:hAnsiTheme="minorHAnsi" w:cstheme="minorHAnsi"/>
                <w:sz w:val="18"/>
                <w:szCs w:val="18"/>
              </w:rPr>
              <w:t>PyMySQL</w:t>
            </w:r>
            <w:proofErr w:type="spellEnd"/>
            <w:r w:rsidRPr="00645208">
              <w:rPr>
                <w:rFonts w:asciiTheme="minorHAnsi" w:hAnsiTheme="minorHAnsi" w:cstheme="minorHAnsi"/>
                <w:sz w:val="18"/>
                <w:szCs w:val="18"/>
              </w:rPr>
              <w:t>)</w:t>
            </w:r>
          </w:p>
        </w:tc>
        <w:tc>
          <w:tcPr>
            <w:tcW w:w="4700" w:type="dxa"/>
            <w:tcMar>
              <w:top w:w="50" w:type="dxa"/>
              <w:left w:w="85" w:type="dxa"/>
              <w:bottom w:w="50" w:type="dxa"/>
              <w:right w:w="85" w:type="dxa"/>
            </w:tcMar>
          </w:tcPr>
          <w:p w:rsidR="00273A3F" w:rsidRPr="00645208" w:rsidRDefault="007B6EA9" w:rsidP="002B3ECA">
            <w:pPr>
              <w:spacing w:line="360" w:lineRule="auto"/>
              <w:jc w:val="both"/>
              <w:rPr>
                <w:rFonts w:asciiTheme="minorHAnsi" w:hAnsiTheme="minorHAnsi" w:cstheme="minorHAnsi"/>
                <w:sz w:val="18"/>
                <w:szCs w:val="18"/>
              </w:rPr>
            </w:pPr>
            <w:r w:rsidRPr="00645208">
              <w:rPr>
                <w:rFonts w:asciiTheme="minorHAnsi" w:hAnsiTheme="minorHAnsi" w:cstheme="minorHAnsi"/>
                <w:sz w:val="18"/>
                <w:szCs w:val="18"/>
              </w:rPr>
              <w:t>Stores source data; exposes analytical views</w:t>
            </w:r>
          </w:p>
        </w:tc>
      </w:tr>
      <w:tr w:rsidR="00273A3F" w:rsidRPr="00645208">
        <w:tc>
          <w:tcPr>
            <w:tcW w:w="2080" w:type="dxa"/>
            <w:tcMar>
              <w:top w:w="50" w:type="dxa"/>
              <w:left w:w="85" w:type="dxa"/>
              <w:bottom w:w="50" w:type="dxa"/>
              <w:right w:w="85" w:type="dxa"/>
            </w:tcMar>
          </w:tcPr>
          <w:p w:rsidR="00273A3F" w:rsidRPr="00645208" w:rsidRDefault="007B6EA9" w:rsidP="002B3ECA">
            <w:pPr>
              <w:spacing w:line="360" w:lineRule="auto"/>
              <w:jc w:val="both"/>
              <w:rPr>
                <w:rFonts w:asciiTheme="minorHAnsi" w:hAnsiTheme="minorHAnsi" w:cstheme="minorHAnsi"/>
                <w:sz w:val="18"/>
                <w:szCs w:val="18"/>
              </w:rPr>
            </w:pPr>
            <w:r w:rsidRPr="00645208">
              <w:rPr>
                <w:rFonts w:asciiTheme="minorHAnsi" w:hAnsiTheme="minorHAnsi" w:cstheme="minorHAnsi"/>
                <w:sz w:val="18"/>
                <w:szCs w:val="18"/>
              </w:rPr>
              <w:t>KPI Engine</w:t>
            </w:r>
          </w:p>
        </w:tc>
        <w:tc>
          <w:tcPr>
            <w:tcW w:w="2600" w:type="dxa"/>
            <w:tcMar>
              <w:top w:w="50" w:type="dxa"/>
              <w:left w:w="85" w:type="dxa"/>
              <w:bottom w:w="50" w:type="dxa"/>
              <w:right w:w="85" w:type="dxa"/>
            </w:tcMar>
          </w:tcPr>
          <w:p w:rsidR="00273A3F" w:rsidRPr="00645208" w:rsidRDefault="007B6EA9" w:rsidP="002B3ECA">
            <w:pPr>
              <w:spacing w:line="360" w:lineRule="auto"/>
              <w:jc w:val="both"/>
              <w:rPr>
                <w:rFonts w:asciiTheme="minorHAnsi" w:hAnsiTheme="minorHAnsi" w:cstheme="minorHAnsi"/>
                <w:sz w:val="18"/>
                <w:szCs w:val="18"/>
              </w:rPr>
            </w:pPr>
            <w:r w:rsidRPr="00645208">
              <w:rPr>
                <w:rFonts w:asciiTheme="minorHAnsi" w:hAnsiTheme="minorHAnsi" w:cstheme="minorHAnsi"/>
                <w:sz w:val="18"/>
                <w:szCs w:val="18"/>
              </w:rPr>
              <w:t>Python</w:t>
            </w:r>
          </w:p>
        </w:tc>
        <w:tc>
          <w:tcPr>
            <w:tcW w:w="4700" w:type="dxa"/>
            <w:tcMar>
              <w:top w:w="50" w:type="dxa"/>
              <w:left w:w="85" w:type="dxa"/>
              <w:bottom w:w="50" w:type="dxa"/>
              <w:right w:w="85" w:type="dxa"/>
            </w:tcMar>
          </w:tcPr>
          <w:p w:rsidR="00273A3F" w:rsidRPr="00645208" w:rsidRDefault="007B6EA9" w:rsidP="002B3ECA">
            <w:pPr>
              <w:spacing w:line="360" w:lineRule="auto"/>
              <w:jc w:val="both"/>
              <w:rPr>
                <w:rFonts w:asciiTheme="minorHAnsi" w:hAnsiTheme="minorHAnsi" w:cstheme="minorHAnsi"/>
                <w:sz w:val="18"/>
                <w:szCs w:val="18"/>
              </w:rPr>
            </w:pPr>
            <w:r w:rsidRPr="00645208">
              <w:rPr>
                <w:rFonts w:asciiTheme="minorHAnsi" w:hAnsiTheme="minorHAnsi" w:cstheme="minorHAnsi"/>
                <w:sz w:val="18"/>
                <w:szCs w:val="18"/>
              </w:rPr>
              <w:t>Deterministic KPI computation</w:t>
            </w:r>
          </w:p>
        </w:tc>
      </w:tr>
      <w:tr w:rsidR="00273A3F" w:rsidRPr="00645208">
        <w:tc>
          <w:tcPr>
            <w:tcW w:w="2080" w:type="dxa"/>
            <w:tcMar>
              <w:top w:w="50" w:type="dxa"/>
              <w:left w:w="85" w:type="dxa"/>
              <w:bottom w:w="50" w:type="dxa"/>
              <w:right w:w="85" w:type="dxa"/>
            </w:tcMar>
          </w:tcPr>
          <w:p w:rsidR="00273A3F" w:rsidRPr="00645208" w:rsidRDefault="007B6EA9" w:rsidP="002B3ECA">
            <w:pPr>
              <w:spacing w:line="360" w:lineRule="auto"/>
              <w:jc w:val="both"/>
              <w:rPr>
                <w:rFonts w:asciiTheme="minorHAnsi" w:hAnsiTheme="minorHAnsi" w:cstheme="minorHAnsi"/>
                <w:sz w:val="18"/>
                <w:szCs w:val="18"/>
              </w:rPr>
            </w:pPr>
            <w:r w:rsidRPr="00645208">
              <w:rPr>
                <w:rFonts w:asciiTheme="minorHAnsi" w:hAnsiTheme="minorHAnsi" w:cstheme="minorHAnsi"/>
                <w:sz w:val="18"/>
                <w:szCs w:val="18"/>
              </w:rPr>
              <w:t>Business Interpretation Layer</w:t>
            </w:r>
          </w:p>
        </w:tc>
        <w:tc>
          <w:tcPr>
            <w:tcW w:w="2600" w:type="dxa"/>
            <w:tcMar>
              <w:top w:w="50" w:type="dxa"/>
              <w:left w:w="85" w:type="dxa"/>
              <w:bottom w:w="50" w:type="dxa"/>
              <w:right w:w="85" w:type="dxa"/>
            </w:tcMar>
          </w:tcPr>
          <w:p w:rsidR="00273A3F" w:rsidRPr="00645208" w:rsidRDefault="007B6EA9" w:rsidP="002B3ECA">
            <w:pPr>
              <w:spacing w:line="360" w:lineRule="auto"/>
              <w:jc w:val="both"/>
              <w:rPr>
                <w:rFonts w:asciiTheme="minorHAnsi" w:hAnsiTheme="minorHAnsi" w:cstheme="minorHAnsi"/>
                <w:sz w:val="18"/>
                <w:szCs w:val="18"/>
              </w:rPr>
            </w:pPr>
            <w:r w:rsidRPr="00645208">
              <w:rPr>
                <w:rFonts w:asciiTheme="minorHAnsi" w:hAnsiTheme="minorHAnsi" w:cstheme="minorHAnsi"/>
                <w:sz w:val="18"/>
                <w:szCs w:val="18"/>
              </w:rPr>
              <w:t>Python</w:t>
            </w:r>
          </w:p>
        </w:tc>
        <w:tc>
          <w:tcPr>
            <w:tcW w:w="4700" w:type="dxa"/>
            <w:tcMar>
              <w:top w:w="50" w:type="dxa"/>
              <w:left w:w="85" w:type="dxa"/>
              <w:bottom w:w="50" w:type="dxa"/>
              <w:right w:w="85" w:type="dxa"/>
            </w:tcMar>
          </w:tcPr>
          <w:p w:rsidR="00273A3F" w:rsidRPr="00645208" w:rsidRDefault="007B6EA9" w:rsidP="002B3ECA">
            <w:pPr>
              <w:spacing w:line="360" w:lineRule="auto"/>
              <w:jc w:val="both"/>
              <w:rPr>
                <w:rFonts w:asciiTheme="minorHAnsi" w:hAnsiTheme="minorHAnsi" w:cstheme="minorHAnsi"/>
                <w:sz w:val="18"/>
                <w:szCs w:val="18"/>
              </w:rPr>
            </w:pPr>
            <w:r w:rsidRPr="00645208">
              <w:rPr>
                <w:rFonts w:asciiTheme="minorHAnsi" w:hAnsiTheme="minorHAnsi" w:cstheme="minorHAnsi"/>
                <w:sz w:val="18"/>
                <w:szCs w:val="18"/>
              </w:rPr>
              <w:t>Status classification, diagnostics, comparisons</w:t>
            </w:r>
          </w:p>
        </w:tc>
      </w:tr>
      <w:tr w:rsidR="00273A3F" w:rsidRPr="00645208">
        <w:tc>
          <w:tcPr>
            <w:tcW w:w="2080" w:type="dxa"/>
            <w:tcMar>
              <w:top w:w="50" w:type="dxa"/>
              <w:left w:w="85" w:type="dxa"/>
              <w:bottom w:w="50" w:type="dxa"/>
              <w:right w:w="85" w:type="dxa"/>
            </w:tcMar>
          </w:tcPr>
          <w:p w:rsidR="00273A3F" w:rsidRPr="00645208" w:rsidRDefault="007B6EA9" w:rsidP="002B3ECA">
            <w:pPr>
              <w:spacing w:line="360" w:lineRule="auto"/>
              <w:jc w:val="both"/>
              <w:rPr>
                <w:rFonts w:asciiTheme="minorHAnsi" w:hAnsiTheme="minorHAnsi" w:cstheme="minorHAnsi"/>
                <w:sz w:val="18"/>
                <w:szCs w:val="18"/>
              </w:rPr>
            </w:pPr>
            <w:r w:rsidRPr="00645208">
              <w:rPr>
                <w:rFonts w:asciiTheme="minorHAnsi" w:hAnsiTheme="minorHAnsi" w:cstheme="minorHAnsi"/>
                <w:sz w:val="18"/>
                <w:szCs w:val="18"/>
              </w:rPr>
              <w:t>Executive Narration Layer</w:t>
            </w:r>
          </w:p>
        </w:tc>
        <w:tc>
          <w:tcPr>
            <w:tcW w:w="2600" w:type="dxa"/>
            <w:tcMar>
              <w:top w:w="50" w:type="dxa"/>
              <w:left w:w="85" w:type="dxa"/>
              <w:bottom w:w="50" w:type="dxa"/>
              <w:right w:w="85" w:type="dxa"/>
            </w:tcMar>
          </w:tcPr>
          <w:p w:rsidR="00273A3F" w:rsidRPr="00645208" w:rsidRDefault="007B6EA9" w:rsidP="002B3ECA">
            <w:pPr>
              <w:spacing w:line="360" w:lineRule="auto"/>
              <w:jc w:val="both"/>
              <w:rPr>
                <w:rFonts w:asciiTheme="minorHAnsi" w:hAnsiTheme="minorHAnsi" w:cstheme="minorHAnsi"/>
                <w:sz w:val="18"/>
                <w:szCs w:val="18"/>
              </w:rPr>
            </w:pPr>
            <w:r w:rsidRPr="00645208">
              <w:rPr>
                <w:rFonts w:asciiTheme="minorHAnsi" w:hAnsiTheme="minorHAnsi" w:cstheme="minorHAnsi"/>
                <w:sz w:val="18"/>
                <w:szCs w:val="18"/>
              </w:rPr>
              <w:t>Claude, governed by a defined system prompt</w:t>
            </w:r>
          </w:p>
        </w:tc>
        <w:tc>
          <w:tcPr>
            <w:tcW w:w="4700" w:type="dxa"/>
            <w:tcMar>
              <w:top w:w="50" w:type="dxa"/>
              <w:left w:w="85" w:type="dxa"/>
              <w:bottom w:w="50" w:type="dxa"/>
              <w:right w:w="85" w:type="dxa"/>
            </w:tcMar>
          </w:tcPr>
          <w:p w:rsidR="00273A3F" w:rsidRPr="00645208" w:rsidRDefault="007B6EA9" w:rsidP="002B3ECA">
            <w:pPr>
              <w:spacing w:line="360" w:lineRule="auto"/>
              <w:jc w:val="both"/>
              <w:rPr>
                <w:rFonts w:asciiTheme="minorHAnsi" w:hAnsiTheme="minorHAnsi" w:cstheme="minorHAnsi"/>
                <w:sz w:val="18"/>
                <w:szCs w:val="18"/>
              </w:rPr>
            </w:pPr>
            <w:r w:rsidRPr="00645208">
              <w:rPr>
                <w:rFonts w:asciiTheme="minorHAnsi" w:hAnsiTheme="minorHAnsi" w:cstheme="minorHAnsi"/>
                <w:sz w:val="18"/>
                <w:szCs w:val="18"/>
              </w:rPr>
              <w:t>Converts verified findings into executive language</w:t>
            </w:r>
          </w:p>
        </w:tc>
      </w:tr>
      <w:tr w:rsidR="00273A3F" w:rsidRPr="00645208">
        <w:tc>
          <w:tcPr>
            <w:tcW w:w="2080" w:type="dxa"/>
            <w:tcMar>
              <w:top w:w="50" w:type="dxa"/>
              <w:left w:w="85" w:type="dxa"/>
              <w:bottom w:w="50" w:type="dxa"/>
              <w:right w:w="85" w:type="dxa"/>
            </w:tcMar>
          </w:tcPr>
          <w:p w:rsidR="00273A3F" w:rsidRPr="00645208" w:rsidRDefault="007B6EA9" w:rsidP="002B3ECA">
            <w:pPr>
              <w:spacing w:line="360" w:lineRule="auto"/>
              <w:jc w:val="both"/>
              <w:rPr>
                <w:rFonts w:asciiTheme="minorHAnsi" w:hAnsiTheme="minorHAnsi" w:cstheme="minorHAnsi"/>
                <w:sz w:val="18"/>
                <w:szCs w:val="18"/>
              </w:rPr>
            </w:pPr>
            <w:r w:rsidRPr="00645208">
              <w:rPr>
                <w:rFonts w:asciiTheme="minorHAnsi" w:hAnsiTheme="minorHAnsi" w:cstheme="minorHAnsi"/>
                <w:sz w:val="18"/>
                <w:szCs w:val="18"/>
              </w:rPr>
              <w:t>Configuration</w:t>
            </w:r>
          </w:p>
        </w:tc>
        <w:tc>
          <w:tcPr>
            <w:tcW w:w="2600" w:type="dxa"/>
            <w:tcMar>
              <w:top w:w="50" w:type="dxa"/>
              <w:left w:w="85" w:type="dxa"/>
              <w:bottom w:w="50" w:type="dxa"/>
              <w:right w:w="85" w:type="dxa"/>
            </w:tcMar>
          </w:tcPr>
          <w:p w:rsidR="00273A3F" w:rsidRPr="00645208" w:rsidRDefault="007B6EA9" w:rsidP="002B3ECA">
            <w:pPr>
              <w:spacing w:line="360" w:lineRule="auto"/>
              <w:jc w:val="both"/>
              <w:rPr>
                <w:rFonts w:asciiTheme="minorHAnsi" w:hAnsiTheme="minorHAnsi" w:cstheme="minorHAnsi"/>
                <w:sz w:val="18"/>
                <w:szCs w:val="18"/>
              </w:rPr>
            </w:pPr>
            <w:r w:rsidRPr="00645208">
              <w:rPr>
                <w:rFonts w:asciiTheme="minorHAnsi" w:hAnsiTheme="minorHAnsi" w:cstheme="minorHAnsi"/>
                <w:sz w:val="18"/>
                <w:szCs w:val="18"/>
              </w:rPr>
              <w:t xml:space="preserve">YAML (via </w:t>
            </w:r>
            <w:proofErr w:type="spellStart"/>
            <w:r w:rsidRPr="00645208">
              <w:rPr>
                <w:rFonts w:asciiTheme="minorHAnsi" w:hAnsiTheme="minorHAnsi" w:cstheme="minorHAnsi"/>
                <w:sz w:val="18"/>
                <w:szCs w:val="18"/>
              </w:rPr>
              <w:t>PyYAML</w:t>
            </w:r>
            <w:proofErr w:type="spellEnd"/>
            <w:r w:rsidRPr="00645208">
              <w:rPr>
                <w:rFonts w:asciiTheme="minorHAnsi" w:hAnsiTheme="minorHAnsi" w:cstheme="minorHAnsi"/>
                <w:sz w:val="18"/>
                <w:szCs w:val="18"/>
              </w:rPr>
              <w:t>)</w:t>
            </w:r>
          </w:p>
        </w:tc>
        <w:tc>
          <w:tcPr>
            <w:tcW w:w="4700" w:type="dxa"/>
            <w:tcMar>
              <w:top w:w="50" w:type="dxa"/>
              <w:left w:w="85" w:type="dxa"/>
              <w:bottom w:w="50" w:type="dxa"/>
              <w:right w:w="85" w:type="dxa"/>
            </w:tcMar>
          </w:tcPr>
          <w:p w:rsidR="00273A3F" w:rsidRPr="00645208" w:rsidRDefault="007B6EA9" w:rsidP="002B3ECA">
            <w:pPr>
              <w:spacing w:line="360" w:lineRule="auto"/>
              <w:jc w:val="both"/>
              <w:rPr>
                <w:rFonts w:asciiTheme="minorHAnsi" w:hAnsiTheme="minorHAnsi" w:cstheme="minorHAnsi"/>
                <w:sz w:val="18"/>
                <w:szCs w:val="18"/>
              </w:rPr>
            </w:pPr>
            <w:r w:rsidRPr="00645208">
              <w:rPr>
                <w:rFonts w:asciiTheme="minorHAnsi" w:hAnsiTheme="minorHAnsi" w:cstheme="minorHAnsi"/>
                <w:sz w:val="18"/>
                <w:szCs w:val="18"/>
              </w:rPr>
              <w:t>Domain-specific KPIs, thresholds, dimensions, business assumptions</w:t>
            </w:r>
          </w:p>
        </w:tc>
      </w:tr>
      <w:tr w:rsidR="00273A3F" w:rsidRPr="00645208">
        <w:tc>
          <w:tcPr>
            <w:tcW w:w="2080" w:type="dxa"/>
            <w:tcMar>
              <w:top w:w="50" w:type="dxa"/>
              <w:left w:w="85" w:type="dxa"/>
              <w:bottom w:w="50" w:type="dxa"/>
              <w:right w:w="85" w:type="dxa"/>
            </w:tcMar>
          </w:tcPr>
          <w:p w:rsidR="00273A3F" w:rsidRPr="00645208" w:rsidRDefault="007B6EA9" w:rsidP="002B3ECA">
            <w:pPr>
              <w:spacing w:line="360" w:lineRule="auto"/>
              <w:jc w:val="both"/>
              <w:rPr>
                <w:rFonts w:asciiTheme="minorHAnsi" w:hAnsiTheme="minorHAnsi" w:cstheme="minorHAnsi"/>
                <w:sz w:val="18"/>
                <w:szCs w:val="18"/>
              </w:rPr>
            </w:pPr>
            <w:r w:rsidRPr="00645208">
              <w:rPr>
                <w:rFonts w:asciiTheme="minorHAnsi" w:hAnsiTheme="minorHAnsi" w:cstheme="minorHAnsi"/>
                <w:sz w:val="18"/>
                <w:szCs w:val="18"/>
              </w:rPr>
              <w:t>Report Output</w:t>
            </w:r>
          </w:p>
        </w:tc>
        <w:tc>
          <w:tcPr>
            <w:tcW w:w="2600" w:type="dxa"/>
            <w:tcMar>
              <w:top w:w="50" w:type="dxa"/>
              <w:left w:w="85" w:type="dxa"/>
              <w:bottom w:w="50" w:type="dxa"/>
              <w:right w:w="85" w:type="dxa"/>
            </w:tcMar>
          </w:tcPr>
          <w:p w:rsidR="00273A3F" w:rsidRPr="00645208" w:rsidRDefault="007B6EA9" w:rsidP="002B3ECA">
            <w:pPr>
              <w:spacing w:line="360" w:lineRule="auto"/>
              <w:jc w:val="both"/>
              <w:rPr>
                <w:rFonts w:asciiTheme="minorHAnsi" w:hAnsiTheme="minorHAnsi" w:cstheme="minorHAnsi"/>
                <w:sz w:val="18"/>
                <w:szCs w:val="18"/>
              </w:rPr>
            </w:pPr>
            <w:r w:rsidRPr="00645208">
              <w:rPr>
                <w:rFonts w:asciiTheme="minorHAnsi" w:hAnsiTheme="minorHAnsi" w:cstheme="minorHAnsi"/>
                <w:sz w:val="18"/>
                <w:szCs w:val="18"/>
              </w:rPr>
              <w:t>python-</w:t>
            </w:r>
            <w:proofErr w:type="spellStart"/>
            <w:r w:rsidRPr="00645208">
              <w:rPr>
                <w:rFonts w:asciiTheme="minorHAnsi" w:hAnsiTheme="minorHAnsi" w:cstheme="minorHAnsi"/>
                <w:sz w:val="18"/>
                <w:szCs w:val="18"/>
              </w:rPr>
              <w:t>docx</w:t>
            </w:r>
            <w:proofErr w:type="spellEnd"/>
            <w:r w:rsidRPr="00645208">
              <w:rPr>
                <w:rFonts w:asciiTheme="minorHAnsi" w:hAnsiTheme="minorHAnsi" w:cstheme="minorHAnsi"/>
                <w:sz w:val="18"/>
                <w:szCs w:val="18"/>
              </w:rPr>
              <w:t xml:space="preserve">, </w:t>
            </w:r>
            <w:proofErr w:type="spellStart"/>
            <w:r w:rsidRPr="00645208">
              <w:rPr>
                <w:rFonts w:asciiTheme="minorHAnsi" w:hAnsiTheme="minorHAnsi" w:cstheme="minorHAnsi"/>
                <w:sz w:val="18"/>
                <w:szCs w:val="18"/>
              </w:rPr>
              <w:t>reportlab</w:t>
            </w:r>
            <w:proofErr w:type="spellEnd"/>
          </w:p>
        </w:tc>
        <w:tc>
          <w:tcPr>
            <w:tcW w:w="4700" w:type="dxa"/>
            <w:tcMar>
              <w:top w:w="50" w:type="dxa"/>
              <w:left w:w="85" w:type="dxa"/>
              <w:bottom w:w="50" w:type="dxa"/>
              <w:right w:w="85" w:type="dxa"/>
            </w:tcMar>
          </w:tcPr>
          <w:p w:rsidR="00273A3F" w:rsidRPr="00645208" w:rsidRDefault="007B6EA9" w:rsidP="002B3ECA">
            <w:pPr>
              <w:spacing w:line="360" w:lineRule="auto"/>
              <w:jc w:val="both"/>
              <w:rPr>
                <w:rFonts w:asciiTheme="minorHAnsi" w:hAnsiTheme="minorHAnsi" w:cstheme="minorHAnsi"/>
                <w:sz w:val="18"/>
                <w:szCs w:val="18"/>
              </w:rPr>
            </w:pPr>
            <w:r w:rsidRPr="00645208">
              <w:rPr>
                <w:rFonts w:asciiTheme="minorHAnsi" w:hAnsiTheme="minorHAnsi" w:cstheme="minorHAnsi"/>
                <w:sz w:val="18"/>
                <w:szCs w:val="18"/>
              </w:rPr>
              <w:t>Formatted document generation</w:t>
            </w:r>
          </w:p>
        </w:tc>
      </w:tr>
      <w:tr w:rsidR="00273A3F" w:rsidRPr="00645208">
        <w:tc>
          <w:tcPr>
            <w:tcW w:w="2080" w:type="dxa"/>
            <w:tcMar>
              <w:top w:w="50" w:type="dxa"/>
              <w:left w:w="85" w:type="dxa"/>
              <w:bottom w:w="50" w:type="dxa"/>
              <w:right w:w="85" w:type="dxa"/>
            </w:tcMar>
          </w:tcPr>
          <w:p w:rsidR="00273A3F" w:rsidRPr="00645208" w:rsidRDefault="007B6EA9" w:rsidP="002B3ECA">
            <w:pPr>
              <w:spacing w:line="360" w:lineRule="auto"/>
              <w:jc w:val="both"/>
              <w:rPr>
                <w:rFonts w:asciiTheme="minorHAnsi" w:hAnsiTheme="minorHAnsi" w:cstheme="minorHAnsi"/>
                <w:sz w:val="18"/>
                <w:szCs w:val="18"/>
              </w:rPr>
            </w:pPr>
            <w:r w:rsidRPr="00645208">
              <w:rPr>
                <w:rFonts w:asciiTheme="minorHAnsi" w:hAnsiTheme="minorHAnsi" w:cstheme="minorHAnsi"/>
                <w:sz w:val="18"/>
                <w:szCs w:val="18"/>
              </w:rPr>
              <w:t>Application Entry Point</w:t>
            </w:r>
          </w:p>
        </w:tc>
        <w:tc>
          <w:tcPr>
            <w:tcW w:w="2600" w:type="dxa"/>
            <w:tcMar>
              <w:top w:w="50" w:type="dxa"/>
              <w:left w:w="85" w:type="dxa"/>
              <w:bottom w:w="50" w:type="dxa"/>
              <w:right w:w="85" w:type="dxa"/>
            </w:tcMar>
          </w:tcPr>
          <w:p w:rsidR="00273A3F" w:rsidRPr="00645208" w:rsidRDefault="007B6EA9" w:rsidP="002B3ECA">
            <w:pPr>
              <w:spacing w:line="360" w:lineRule="auto"/>
              <w:jc w:val="both"/>
              <w:rPr>
                <w:rFonts w:asciiTheme="minorHAnsi" w:hAnsiTheme="minorHAnsi" w:cstheme="minorHAnsi"/>
                <w:sz w:val="18"/>
                <w:szCs w:val="18"/>
              </w:rPr>
            </w:pPr>
            <w:r w:rsidRPr="00645208">
              <w:rPr>
                <w:rFonts w:asciiTheme="minorHAnsi" w:eastAsia="Consolas" w:hAnsiTheme="minorHAnsi" w:cstheme="minorHAnsi"/>
                <w:sz w:val="18"/>
                <w:szCs w:val="18"/>
              </w:rPr>
              <w:t>main.py</w:t>
            </w:r>
          </w:p>
        </w:tc>
        <w:tc>
          <w:tcPr>
            <w:tcW w:w="4700" w:type="dxa"/>
            <w:tcMar>
              <w:top w:w="50" w:type="dxa"/>
              <w:left w:w="85" w:type="dxa"/>
              <w:bottom w:w="50" w:type="dxa"/>
              <w:right w:w="85" w:type="dxa"/>
            </w:tcMar>
          </w:tcPr>
          <w:p w:rsidR="00273A3F" w:rsidRPr="00645208" w:rsidRDefault="007B6EA9" w:rsidP="002B3ECA">
            <w:pPr>
              <w:spacing w:line="360" w:lineRule="auto"/>
              <w:jc w:val="both"/>
              <w:rPr>
                <w:rFonts w:asciiTheme="minorHAnsi" w:hAnsiTheme="minorHAnsi" w:cstheme="minorHAnsi"/>
                <w:sz w:val="18"/>
                <w:szCs w:val="18"/>
              </w:rPr>
            </w:pPr>
            <w:r w:rsidRPr="00645208">
              <w:rPr>
                <w:rFonts w:asciiTheme="minorHAnsi" w:hAnsiTheme="minorHAnsi" w:cstheme="minorHAnsi"/>
                <w:sz w:val="18"/>
                <w:szCs w:val="18"/>
              </w:rPr>
              <w:t>Generates the executive report and launches the interactive analyst</w:t>
            </w:r>
          </w:p>
        </w:tc>
      </w:tr>
    </w:tbl>
    <w:p w:rsidR="00273A3F" w:rsidRPr="00645208" w:rsidRDefault="00273A3F" w:rsidP="002B3ECA">
      <w:pPr>
        <w:spacing w:after="90" w:line="360" w:lineRule="auto"/>
        <w:jc w:val="both"/>
        <w:rPr>
          <w:rFonts w:asciiTheme="minorHAnsi" w:hAnsiTheme="minorHAnsi" w:cstheme="minorHAnsi"/>
          <w:sz w:val="18"/>
          <w:szCs w:val="18"/>
        </w:rPr>
      </w:pPr>
    </w:p>
    <w:p w:rsidR="00273A3F" w:rsidRPr="00645208" w:rsidRDefault="007B6EA9" w:rsidP="002B3ECA">
      <w:pPr>
        <w:spacing w:after="110" w:line="360" w:lineRule="auto"/>
        <w:jc w:val="both"/>
        <w:rPr>
          <w:rFonts w:asciiTheme="minorHAnsi" w:hAnsiTheme="minorHAnsi" w:cstheme="minorHAnsi"/>
          <w:sz w:val="18"/>
          <w:szCs w:val="18"/>
        </w:rPr>
      </w:pPr>
      <w:r w:rsidRPr="00645208">
        <w:rPr>
          <w:rFonts w:asciiTheme="minorHAnsi" w:hAnsiTheme="minorHAnsi" w:cstheme="minorHAnsi"/>
          <w:sz w:val="18"/>
          <w:szCs w:val="18"/>
        </w:rPr>
        <w:lastRenderedPageBreak/>
        <w:t xml:space="preserve">The repository separates these responsibilities into dedicated directories: </w:t>
      </w:r>
      <w:r w:rsidRPr="00645208">
        <w:rPr>
          <w:rFonts w:asciiTheme="minorHAnsi" w:eastAsia="Consolas" w:hAnsiTheme="minorHAnsi" w:cstheme="minorHAnsi"/>
          <w:sz w:val="18"/>
          <w:szCs w:val="18"/>
        </w:rPr>
        <w:t>agent/</w:t>
      </w:r>
      <w:r w:rsidRPr="00645208">
        <w:rPr>
          <w:rFonts w:asciiTheme="minorHAnsi" w:hAnsiTheme="minorHAnsi" w:cstheme="minorHAnsi"/>
          <w:sz w:val="18"/>
          <w:szCs w:val="18"/>
        </w:rPr>
        <w:t xml:space="preserve"> for narration and report generation, </w:t>
      </w:r>
      <w:r w:rsidRPr="00645208">
        <w:rPr>
          <w:rFonts w:asciiTheme="minorHAnsi" w:eastAsia="Consolas" w:hAnsiTheme="minorHAnsi" w:cstheme="minorHAnsi"/>
          <w:sz w:val="18"/>
          <w:szCs w:val="18"/>
        </w:rPr>
        <w:t>engine/</w:t>
      </w:r>
      <w:r w:rsidRPr="00645208">
        <w:rPr>
          <w:rFonts w:asciiTheme="minorHAnsi" w:hAnsiTheme="minorHAnsi" w:cstheme="minorHAnsi"/>
          <w:sz w:val="18"/>
          <w:szCs w:val="18"/>
        </w:rPr>
        <w:t xml:space="preserve"> for KPI calculation and business interpretation, </w:t>
      </w:r>
      <w:proofErr w:type="spellStart"/>
      <w:r w:rsidRPr="00645208">
        <w:rPr>
          <w:rFonts w:asciiTheme="minorHAnsi" w:eastAsia="Consolas" w:hAnsiTheme="minorHAnsi" w:cstheme="minorHAnsi"/>
          <w:sz w:val="18"/>
          <w:szCs w:val="18"/>
        </w:rPr>
        <w:t>config</w:t>
      </w:r>
      <w:proofErr w:type="spellEnd"/>
      <w:r w:rsidRPr="00645208">
        <w:rPr>
          <w:rFonts w:asciiTheme="minorHAnsi" w:eastAsia="Consolas" w:hAnsiTheme="minorHAnsi" w:cstheme="minorHAnsi"/>
          <w:sz w:val="18"/>
          <w:szCs w:val="18"/>
        </w:rPr>
        <w:t>/</w:t>
      </w:r>
      <w:r w:rsidRPr="00645208">
        <w:rPr>
          <w:rFonts w:asciiTheme="minorHAnsi" w:hAnsiTheme="minorHAnsi" w:cstheme="minorHAnsi"/>
          <w:sz w:val="18"/>
          <w:szCs w:val="18"/>
        </w:rPr>
        <w:t xml:space="preserve"> for YAML configuration, </w:t>
      </w:r>
      <w:proofErr w:type="spellStart"/>
      <w:r w:rsidRPr="00645208">
        <w:rPr>
          <w:rFonts w:asciiTheme="minorHAnsi" w:eastAsia="Consolas" w:hAnsiTheme="minorHAnsi" w:cstheme="minorHAnsi"/>
          <w:sz w:val="18"/>
          <w:szCs w:val="18"/>
        </w:rPr>
        <w:t>sql</w:t>
      </w:r>
      <w:proofErr w:type="spellEnd"/>
      <w:r w:rsidRPr="00645208">
        <w:rPr>
          <w:rFonts w:asciiTheme="minorHAnsi" w:eastAsia="Consolas" w:hAnsiTheme="minorHAnsi" w:cstheme="minorHAnsi"/>
          <w:sz w:val="18"/>
          <w:szCs w:val="18"/>
        </w:rPr>
        <w:t>/</w:t>
      </w:r>
      <w:r w:rsidRPr="00645208">
        <w:rPr>
          <w:rFonts w:asciiTheme="minorHAnsi" w:hAnsiTheme="minorHAnsi" w:cstheme="minorHAnsi"/>
          <w:sz w:val="18"/>
          <w:szCs w:val="18"/>
        </w:rPr>
        <w:t xml:space="preserve"> for schema and analytical queries, and </w:t>
      </w:r>
      <w:r w:rsidRPr="00645208">
        <w:rPr>
          <w:rFonts w:asciiTheme="minorHAnsi" w:eastAsia="Consolas" w:hAnsiTheme="minorHAnsi" w:cstheme="minorHAnsi"/>
          <w:sz w:val="18"/>
          <w:szCs w:val="18"/>
        </w:rPr>
        <w:t>docs/</w:t>
      </w:r>
      <w:r w:rsidRPr="00645208">
        <w:rPr>
          <w:rFonts w:asciiTheme="minorHAnsi" w:hAnsiTheme="minorHAnsi" w:cstheme="minorHAnsi"/>
          <w:sz w:val="18"/>
          <w:szCs w:val="18"/>
        </w:rPr>
        <w:t xml:space="preserve"> for project documentation, including this document.</w:t>
      </w:r>
    </w:p>
    <w:p w:rsidR="00273A3F" w:rsidRPr="00645208" w:rsidRDefault="003E6AF3" w:rsidP="002B3ECA">
      <w:pPr>
        <w:pStyle w:val="Heading2"/>
        <w:pBdr>
          <w:bottom w:val="single" w:sz="6" w:space="4" w:color="1F3864"/>
        </w:pBdr>
        <w:spacing w:before="200" w:after="90" w:line="360" w:lineRule="auto"/>
        <w:jc w:val="both"/>
        <w:rPr>
          <w:rFonts w:asciiTheme="minorHAnsi" w:hAnsiTheme="minorHAnsi" w:cstheme="minorHAnsi"/>
        </w:rPr>
      </w:pPr>
      <w:r>
        <w:rPr>
          <w:rFonts w:asciiTheme="minorHAnsi" w:hAnsiTheme="minorHAnsi" w:cstheme="minorHAnsi"/>
          <w:b/>
          <w:bCs/>
          <w:color w:val="1F3864"/>
          <w:sz w:val="25"/>
          <w:szCs w:val="25"/>
        </w:rPr>
        <w:t>12</w:t>
      </w:r>
      <w:r w:rsidR="007B6EA9" w:rsidRPr="00645208">
        <w:rPr>
          <w:rFonts w:asciiTheme="minorHAnsi" w:hAnsiTheme="minorHAnsi" w:cstheme="minorHAnsi"/>
          <w:b/>
          <w:bCs/>
          <w:color w:val="1F3864"/>
          <w:sz w:val="25"/>
          <w:szCs w:val="25"/>
        </w:rPr>
        <w:t>. User Workflow</w:t>
      </w:r>
    </w:p>
    <w:p w:rsidR="00273A3F" w:rsidRPr="00645208" w:rsidRDefault="007B6EA9" w:rsidP="002B3ECA">
      <w:pPr>
        <w:spacing w:after="110" w:line="360" w:lineRule="auto"/>
        <w:jc w:val="both"/>
        <w:rPr>
          <w:rFonts w:asciiTheme="minorHAnsi" w:hAnsiTheme="minorHAnsi" w:cstheme="minorHAnsi"/>
          <w:sz w:val="18"/>
          <w:szCs w:val="18"/>
        </w:rPr>
      </w:pPr>
      <w:r w:rsidRPr="00645208">
        <w:rPr>
          <w:rFonts w:asciiTheme="minorHAnsi" w:hAnsiTheme="minorHAnsi" w:cstheme="minorHAnsi"/>
          <w:sz w:val="18"/>
          <w:szCs w:val="18"/>
        </w:rPr>
        <w:t>InsightForge supports two workflows over the same verified findings.</w:t>
      </w:r>
    </w:p>
    <w:p w:rsidR="00273A3F" w:rsidRPr="00645208" w:rsidRDefault="007B6EA9" w:rsidP="002B3ECA">
      <w:pPr>
        <w:spacing w:after="110" w:line="360" w:lineRule="auto"/>
        <w:jc w:val="both"/>
        <w:rPr>
          <w:rFonts w:asciiTheme="minorHAnsi" w:hAnsiTheme="minorHAnsi" w:cstheme="minorHAnsi"/>
          <w:sz w:val="18"/>
          <w:szCs w:val="18"/>
        </w:rPr>
      </w:pPr>
      <w:r w:rsidRPr="00645208">
        <w:rPr>
          <w:rFonts w:asciiTheme="minorHAnsi" w:hAnsiTheme="minorHAnsi" w:cstheme="minorHAnsi"/>
          <w:b/>
          <w:bCs/>
          <w:sz w:val="18"/>
          <w:szCs w:val="18"/>
        </w:rPr>
        <w:t>Executive report</w:t>
      </w:r>
      <w:r w:rsidR="00AC776F" w:rsidRPr="00645208">
        <w:rPr>
          <w:rFonts w:asciiTheme="minorHAnsi" w:hAnsiTheme="minorHAnsi" w:cstheme="minorHAnsi"/>
          <w:b/>
          <w:bCs/>
          <w:sz w:val="18"/>
          <w:szCs w:val="18"/>
        </w:rPr>
        <w:t>:</w:t>
      </w:r>
      <w:r w:rsidRPr="00645208">
        <w:rPr>
          <w:rFonts w:asciiTheme="minorHAnsi" w:hAnsiTheme="minorHAnsi" w:cstheme="minorHAnsi"/>
          <w:sz w:val="18"/>
          <w:szCs w:val="18"/>
        </w:rPr>
        <w:t xml:space="preserve"> The user runs the application against a configured project. The system loads the relevant configuration, executes the configured SQL queries, and computes all defined KPIs. The Business Interpretation Layer classifies and diagnoses each finding, and the Executive Narration Layer generates a structured report: an executive KPI scorecard, followed by executive summary, operational performance, financial performance, business implications, and recommendations sections.</w:t>
      </w:r>
    </w:p>
    <w:p w:rsidR="00273A3F" w:rsidRPr="00645208" w:rsidRDefault="007B6EA9" w:rsidP="002B3ECA">
      <w:pPr>
        <w:spacing w:after="110" w:line="360" w:lineRule="auto"/>
        <w:jc w:val="both"/>
        <w:rPr>
          <w:rFonts w:asciiTheme="minorHAnsi" w:hAnsiTheme="minorHAnsi" w:cstheme="minorHAnsi"/>
          <w:sz w:val="18"/>
          <w:szCs w:val="18"/>
        </w:rPr>
      </w:pPr>
      <w:r w:rsidRPr="00645208">
        <w:rPr>
          <w:rFonts w:asciiTheme="minorHAnsi" w:hAnsiTheme="minorHAnsi" w:cstheme="minorHAnsi"/>
          <w:b/>
          <w:bCs/>
          <w:sz w:val="18"/>
          <w:szCs w:val="18"/>
        </w:rPr>
        <w:t>Interactive analyst</w:t>
      </w:r>
      <w:r w:rsidR="00AC776F" w:rsidRPr="00645208">
        <w:rPr>
          <w:rFonts w:asciiTheme="minorHAnsi" w:hAnsiTheme="minorHAnsi" w:cstheme="minorHAnsi"/>
          <w:b/>
          <w:bCs/>
          <w:sz w:val="18"/>
          <w:szCs w:val="18"/>
        </w:rPr>
        <w:t xml:space="preserve">: </w:t>
      </w:r>
      <w:r w:rsidRPr="00645208">
        <w:rPr>
          <w:rFonts w:asciiTheme="minorHAnsi" w:hAnsiTheme="minorHAnsi" w:cstheme="minorHAnsi"/>
          <w:sz w:val="18"/>
          <w:szCs w:val="18"/>
        </w:rPr>
        <w:t xml:space="preserve"> The user launches the interactive mode from the same application and asks a single question in natural language — for example, "Which market generated the highest sales?" The system retrieves the relevant verified finding and returns a plain-language answer, without full report formatting. If a question requires evidence that has not been supplied, such as a year-over-year comparison that was not configured, the system states that the comparison cannot be determined rather than estimating an answer.</w:t>
      </w:r>
    </w:p>
    <w:p w:rsidR="00273A3F" w:rsidRPr="00645208" w:rsidRDefault="003E6AF3" w:rsidP="002B3ECA">
      <w:pPr>
        <w:pStyle w:val="Heading2"/>
        <w:pBdr>
          <w:bottom w:val="single" w:sz="6" w:space="4" w:color="1F3864"/>
        </w:pBdr>
        <w:spacing w:before="200" w:after="90" w:line="360" w:lineRule="auto"/>
        <w:jc w:val="both"/>
        <w:rPr>
          <w:rFonts w:asciiTheme="minorHAnsi" w:hAnsiTheme="minorHAnsi" w:cstheme="minorHAnsi"/>
        </w:rPr>
      </w:pPr>
      <w:r>
        <w:rPr>
          <w:rFonts w:asciiTheme="minorHAnsi" w:hAnsiTheme="minorHAnsi" w:cstheme="minorHAnsi"/>
          <w:b/>
          <w:bCs/>
          <w:color w:val="1F3864"/>
          <w:sz w:val="25"/>
          <w:szCs w:val="25"/>
        </w:rPr>
        <w:t>13</w:t>
      </w:r>
      <w:r w:rsidR="007B6EA9" w:rsidRPr="00645208">
        <w:rPr>
          <w:rFonts w:asciiTheme="minorHAnsi" w:hAnsiTheme="minorHAnsi" w:cstheme="minorHAnsi"/>
          <w:b/>
          <w:bCs/>
          <w:color w:val="1F3864"/>
          <w:sz w:val="25"/>
          <w:szCs w:val="25"/>
        </w:rPr>
        <w:t>. Assumptions</w:t>
      </w:r>
    </w:p>
    <w:p w:rsidR="00273A3F" w:rsidRPr="00645208" w:rsidRDefault="007B6EA9" w:rsidP="002B3ECA">
      <w:pPr>
        <w:pStyle w:val="ListParagraph"/>
        <w:numPr>
          <w:ilvl w:val="0"/>
          <w:numId w:val="2"/>
        </w:numPr>
        <w:spacing w:after="60" w:line="360" w:lineRule="auto"/>
        <w:jc w:val="both"/>
        <w:rPr>
          <w:rFonts w:asciiTheme="minorHAnsi" w:hAnsiTheme="minorHAnsi" w:cstheme="minorHAnsi"/>
          <w:sz w:val="18"/>
          <w:szCs w:val="18"/>
        </w:rPr>
      </w:pPr>
      <w:r w:rsidRPr="00645208">
        <w:rPr>
          <w:rFonts w:asciiTheme="minorHAnsi" w:hAnsiTheme="minorHAnsi" w:cstheme="minorHAnsi"/>
          <w:sz w:val="18"/>
          <w:szCs w:val="18"/>
        </w:rPr>
        <w:t>The Business Background and Problem Statement in Sections 2 and 3 are derived from InsightForge's documented design principles and evidence-first architecture; no separate stakeholder-supplied problem statement was provided as source material.</w:t>
      </w:r>
    </w:p>
    <w:p w:rsidR="00273A3F" w:rsidRPr="00645208" w:rsidRDefault="007B6EA9" w:rsidP="002B3ECA">
      <w:pPr>
        <w:pStyle w:val="ListParagraph"/>
        <w:numPr>
          <w:ilvl w:val="0"/>
          <w:numId w:val="2"/>
        </w:numPr>
        <w:spacing w:after="60" w:line="360" w:lineRule="auto"/>
        <w:jc w:val="both"/>
        <w:rPr>
          <w:rFonts w:asciiTheme="minorHAnsi" w:hAnsiTheme="minorHAnsi" w:cstheme="minorHAnsi"/>
          <w:sz w:val="18"/>
          <w:szCs w:val="18"/>
        </w:rPr>
      </w:pPr>
      <w:r w:rsidRPr="00645208">
        <w:rPr>
          <w:rFonts w:asciiTheme="minorHAnsi" w:hAnsiTheme="minorHAnsi" w:cstheme="minorHAnsi"/>
          <w:sz w:val="18"/>
          <w:szCs w:val="18"/>
        </w:rPr>
        <w:t>Source data is assumed to already exist in each project's configured database view prior to report generation; the process that populates this view is not documented and is treated as outside the current implementation.</w:t>
      </w:r>
    </w:p>
    <w:p w:rsidR="00273A3F" w:rsidRPr="00645208" w:rsidRDefault="007B6EA9" w:rsidP="002B3ECA">
      <w:pPr>
        <w:pStyle w:val="ListParagraph"/>
        <w:numPr>
          <w:ilvl w:val="0"/>
          <w:numId w:val="2"/>
        </w:numPr>
        <w:spacing w:after="60" w:line="360" w:lineRule="auto"/>
        <w:jc w:val="both"/>
        <w:rPr>
          <w:rFonts w:asciiTheme="minorHAnsi" w:hAnsiTheme="minorHAnsi" w:cstheme="minorHAnsi"/>
          <w:sz w:val="18"/>
          <w:szCs w:val="18"/>
        </w:rPr>
      </w:pPr>
      <w:r w:rsidRPr="00645208">
        <w:rPr>
          <w:rFonts w:asciiTheme="minorHAnsi" w:hAnsiTheme="minorHAnsi" w:cstheme="minorHAnsi"/>
          <w:sz w:val="18"/>
          <w:szCs w:val="18"/>
        </w:rPr>
        <w:t>Currency and unit conventions, such as INR for the retail dataset, are set per project configuration and are not assumed to be universal across domains.</w:t>
      </w:r>
    </w:p>
    <w:p w:rsidR="00273A3F" w:rsidRPr="00645208" w:rsidRDefault="007B6EA9" w:rsidP="002B3ECA">
      <w:pPr>
        <w:pStyle w:val="ListParagraph"/>
        <w:numPr>
          <w:ilvl w:val="0"/>
          <w:numId w:val="2"/>
        </w:numPr>
        <w:spacing w:after="60" w:line="360" w:lineRule="auto"/>
        <w:jc w:val="both"/>
        <w:rPr>
          <w:rFonts w:asciiTheme="minorHAnsi" w:hAnsiTheme="minorHAnsi" w:cstheme="minorHAnsi"/>
          <w:sz w:val="18"/>
          <w:szCs w:val="18"/>
        </w:rPr>
      </w:pPr>
      <w:r w:rsidRPr="00645208">
        <w:rPr>
          <w:rFonts w:asciiTheme="minorHAnsi" w:hAnsiTheme="minorHAnsi" w:cstheme="minorHAnsi"/>
          <w:sz w:val="18"/>
          <w:szCs w:val="18"/>
        </w:rPr>
        <w:t>Database and language model API credentials are assumed to be provisioned and available via environment variables prior to execution.</w:t>
      </w:r>
    </w:p>
    <w:p w:rsidR="00273A3F" w:rsidRPr="00645208" w:rsidRDefault="007B6EA9" w:rsidP="002B3ECA">
      <w:pPr>
        <w:pStyle w:val="ListParagraph"/>
        <w:numPr>
          <w:ilvl w:val="0"/>
          <w:numId w:val="2"/>
        </w:numPr>
        <w:spacing w:after="60" w:line="360" w:lineRule="auto"/>
        <w:jc w:val="both"/>
        <w:rPr>
          <w:rFonts w:asciiTheme="minorHAnsi" w:hAnsiTheme="minorHAnsi" w:cstheme="minorHAnsi"/>
          <w:sz w:val="18"/>
          <w:szCs w:val="18"/>
        </w:rPr>
      </w:pPr>
      <w:r w:rsidRPr="00645208">
        <w:rPr>
          <w:rFonts w:asciiTheme="minorHAnsi" w:hAnsiTheme="minorHAnsi" w:cstheme="minorHAnsi"/>
          <w:sz w:val="18"/>
          <w:szCs w:val="18"/>
        </w:rPr>
        <w:t>Source documentation describes the two validated datasets differently: the platform overview identifies the telecom dataset as the flagship implementation, while the retail configuration file's internal description labels itself as the flagship configuration. This document treats both as equally validated implementations of the same core engine, consistent with how they are described in the original project brief, rather than resolving the discrepancy in favor of one dataset.</w:t>
      </w:r>
    </w:p>
    <w:p w:rsidR="00273A3F" w:rsidRPr="00645208" w:rsidRDefault="003E6AF3" w:rsidP="002B3ECA">
      <w:pPr>
        <w:pStyle w:val="Heading2"/>
        <w:pBdr>
          <w:bottom w:val="single" w:sz="6" w:space="4" w:color="1F3864"/>
        </w:pBdr>
        <w:spacing w:before="200" w:after="90" w:line="360" w:lineRule="auto"/>
        <w:jc w:val="both"/>
        <w:rPr>
          <w:rFonts w:asciiTheme="minorHAnsi" w:hAnsiTheme="minorHAnsi" w:cstheme="minorHAnsi"/>
        </w:rPr>
      </w:pPr>
      <w:r>
        <w:rPr>
          <w:rFonts w:asciiTheme="minorHAnsi" w:hAnsiTheme="minorHAnsi" w:cstheme="minorHAnsi"/>
          <w:b/>
          <w:bCs/>
          <w:color w:val="1F3864"/>
          <w:sz w:val="25"/>
          <w:szCs w:val="25"/>
        </w:rPr>
        <w:t>14</w:t>
      </w:r>
      <w:r w:rsidR="007B6EA9" w:rsidRPr="00645208">
        <w:rPr>
          <w:rFonts w:asciiTheme="minorHAnsi" w:hAnsiTheme="minorHAnsi" w:cstheme="minorHAnsi"/>
          <w:b/>
          <w:bCs/>
          <w:color w:val="1F3864"/>
          <w:sz w:val="25"/>
          <w:szCs w:val="25"/>
        </w:rPr>
        <w:t>. Constraints</w:t>
      </w:r>
    </w:p>
    <w:p w:rsidR="00273A3F" w:rsidRPr="00645208" w:rsidRDefault="007B6EA9" w:rsidP="002B3ECA">
      <w:pPr>
        <w:pStyle w:val="ListParagraph"/>
        <w:numPr>
          <w:ilvl w:val="0"/>
          <w:numId w:val="2"/>
        </w:numPr>
        <w:spacing w:after="60" w:line="360" w:lineRule="auto"/>
        <w:jc w:val="both"/>
        <w:rPr>
          <w:rFonts w:asciiTheme="minorHAnsi" w:hAnsiTheme="minorHAnsi" w:cstheme="minorHAnsi"/>
          <w:sz w:val="18"/>
          <w:szCs w:val="18"/>
        </w:rPr>
      </w:pPr>
      <w:r w:rsidRPr="00645208">
        <w:rPr>
          <w:rFonts w:asciiTheme="minorHAnsi" w:hAnsiTheme="minorHAnsi" w:cstheme="minorHAnsi"/>
          <w:sz w:val="18"/>
          <w:szCs w:val="18"/>
        </w:rPr>
        <w:t>The narration layer can only report what the deterministic layers supply; it cannot answer questions or generate findings for metrics, comparisons, or dimensions outside the current configuration.</w:t>
      </w:r>
    </w:p>
    <w:p w:rsidR="00273A3F" w:rsidRPr="00645208" w:rsidRDefault="007B6EA9" w:rsidP="002B3ECA">
      <w:pPr>
        <w:pStyle w:val="ListParagraph"/>
        <w:numPr>
          <w:ilvl w:val="0"/>
          <w:numId w:val="2"/>
        </w:numPr>
        <w:spacing w:after="60" w:line="360" w:lineRule="auto"/>
        <w:jc w:val="both"/>
        <w:rPr>
          <w:rFonts w:asciiTheme="minorHAnsi" w:hAnsiTheme="minorHAnsi" w:cstheme="minorHAnsi"/>
          <w:sz w:val="18"/>
          <w:szCs w:val="18"/>
        </w:rPr>
      </w:pPr>
      <w:r w:rsidRPr="00645208">
        <w:rPr>
          <w:rFonts w:asciiTheme="minorHAnsi" w:hAnsiTheme="minorHAnsi" w:cstheme="minorHAnsi"/>
          <w:sz w:val="18"/>
          <w:szCs w:val="18"/>
        </w:rPr>
        <w:t>Status classification is available only for KPIs with explicitly configured thresholds; KPIs without thresholds remain descriptive regardless of business importance.</w:t>
      </w:r>
    </w:p>
    <w:p w:rsidR="00273A3F" w:rsidRPr="00645208" w:rsidRDefault="007B6EA9" w:rsidP="002B3ECA">
      <w:pPr>
        <w:pStyle w:val="ListParagraph"/>
        <w:numPr>
          <w:ilvl w:val="0"/>
          <w:numId w:val="2"/>
        </w:numPr>
        <w:spacing w:after="60" w:line="360" w:lineRule="auto"/>
        <w:jc w:val="both"/>
        <w:rPr>
          <w:rFonts w:asciiTheme="minorHAnsi" w:hAnsiTheme="minorHAnsi" w:cstheme="minorHAnsi"/>
          <w:sz w:val="18"/>
          <w:szCs w:val="18"/>
        </w:rPr>
      </w:pPr>
      <w:r w:rsidRPr="00645208">
        <w:rPr>
          <w:rFonts w:asciiTheme="minorHAnsi" w:hAnsiTheme="minorHAnsi" w:cstheme="minorHAnsi"/>
          <w:sz w:val="18"/>
          <w:szCs w:val="18"/>
        </w:rPr>
        <w:t>The current implementation is a local, database-connected Python application; it does not include a web interface, hosted deployment, or dashboard.</w:t>
      </w:r>
    </w:p>
    <w:p w:rsidR="00273A3F" w:rsidRPr="00645208" w:rsidRDefault="007B6EA9" w:rsidP="002B3ECA">
      <w:pPr>
        <w:pStyle w:val="ListParagraph"/>
        <w:numPr>
          <w:ilvl w:val="0"/>
          <w:numId w:val="2"/>
        </w:numPr>
        <w:spacing w:after="60" w:line="360" w:lineRule="auto"/>
        <w:jc w:val="both"/>
        <w:rPr>
          <w:rFonts w:asciiTheme="minorHAnsi" w:hAnsiTheme="minorHAnsi" w:cstheme="minorHAnsi"/>
        </w:rPr>
      </w:pPr>
      <w:r w:rsidRPr="00645208">
        <w:rPr>
          <w:rFonts w:asciiTheme="minorHAnsi" w:hAnsiTheme="minorHAnsi" w:cstheme="minorHAnsi"/>
          <w:sz w:val="18"/>
          <w:szCs w:val="18"/>
        </w:rPr>
        <w:t>Report generation depends on the availability of the configured database and the language model API; the system does not define a fallback beyond withholding the full report when metric coverage falls below 50%.</w:t>
      </w:r>
    </w:p>
    <w:p w:rsidR="00273A3F" w:rsidRPr="00645208" w:rsidRDefault="003E6AF3" w:rsidP="002B3ECA">
      <w:pPr>
        <w:pStyle w:val="Heading2"/>
        <w:pBdr>
          <w:bottom w:val="single" w:sz="6" w:space="4" w:color="1F3864"/>
        </w:pBdr>
        <w:spacing w:before="200" w:after="90" w:line="360" w:lineRule="auto"/>
        <w:jc w:val="both"/>
        <w:rPr>
          <w:rFonts w:asciiTheme="minorHAnsi" w:hAnsiTheme="minorHAnsi" w:cstheme="minorHAnsi"/>
        </w:rPr>
      </w:pPr>
      <w:r>
        <w:rPr>
          <w:rFonts w:asciiTheme="minorHAnsi" w:hAnsiTheme="minorHAnsi" w:cstheme="minorHAnsi"/>
          <w:b/>
          <w:bCs/>
          <w:color w:val="1F3864"/>
          <w:sz w:val="25"/>
          <w:szCs w:val="25"/>
        </w:rPr>
        <w:lastRenderedPageBreak/>
        <w:t>15</w:t>
      </w:r>
      <w:r w:rsidR="007B6EA9" w:rsidRPr="00645208">
        <w:rPr>
          <w:rFonts w:asciiTheme="minorHAnsi" w:hAnsiTheme="minorHAnsi" w:cstheme="minorHAnsi"/>
          <w:b/>
          <w:bCs/>
          <w:color w:val="1F3864"/>
          <w:sz w:val="25"/>
          <w:szCs w:val="25"/>
        </w:rPr>
        <w:t>. Risks</w:t>
      </w:r>
    </w:p>
    <w:p w:rsidR="00273A3F" w:rsidRPr="00645208" w:rsidRDefault="007B6EA9" w:rsidP="002B3ECA">
      <w:pPr>
        <w:pStyle w:val="ListParagraph"/>
        <w:numPr>
          <w:ilvl w:val="0"/>
          <w:numId w:val="2"/>
        </w:numPr>
        <w:spacing w:after="60" w:line="360" w:lineRule="auto"/>
        <w:jc w:val="both"/>
        <w:rPr>
          <w:rFonts w:asciiTheme="minorHAnsi" w:hAnsiTheme="minorHAnsi" w:cstheme="minorHAnsi"/>
          <w:sz w:val="18"/>
          <w:szCs w:val="18"/>
        </w:rPr>
      </w:pPr>
      <w:r w:rsidRPr="00645208">
        <w:rPr>
          <w:rFonts w:asciiTheme="minorHAnsi" w:hAnsiTheme="minorHAnsi" w:cstheme="minorHAnsi"/>
          <w:sz w:val="18"/>
          <w:szCs w:val="18"/>
        </w:rPr>
        <w:t>Configuration errors in a project's YAML file, such as an incorrect column mapping or formula, would propagate directly into reported KPI values, since the KPI Engine is the sole source of truth and no independent validation layer is documented.</w:t>
      </w:r>
    </w:p>
    <w:p w:rsidR="00273A3F" w:rsidRPr="00645208" w:rsidRDefault="007B6EA9" w:rsidP="002B3ECA">
      <w:pPr>
        <w:pStyle w:val="ListParagraph"/>
        <w:numPr>
          <w:ilvl w:val="0"/>
          <w:numId w:val="2"/>
        </w:numPr>
        <w:spacing w:after="60" w:line="360" w:lineRule="auto"/>
        <w:jc w:val="both"/>
        <w:rPr>
          <w:rFonts w:asciiTheme="minorHAnsi" w:hAnsiTheme="minorHAnsi" w:cstheme="minorHAnsi"/>
          <w:sz w:val="18"/>
          <w:szCs w:val="18"/>
        </w:rPr>
      </w:pPr>
      <w:r w:rsidRPr="00645208">
        <w:rPr>
          <w:rFonts w:asciiTheme="minorHAnsi" w:hAnsiTheme="minorHAnsi" w:cstheme="minorHAnsi"/>
          <w:sz w:val="18"/>
          <w:szCs w:val="18"/>
        </w:rPr>
        <w:t>Domains without configured thresholds or comparison logic, as with the current retail configuration, are limited to descriptive reporting, which reduces decision-support value until thresholds are established.</w:t>
      </w:r>
    </w:p>
    <w:p w:rsidR="00273A3F" w:rsidRPr="00645208" w:rsidRDefault="007B6EA9" w:rsidP="002B3ECA">
      <w:pPr>
        <w:pStyle w:val="ListParagraph"/>
        <w:numPr>
          <w:ilvl w:val="0"/>
          <w:numId w:val="2"/>
        </w:numPr>
        <w:spacing w:after="60" w:line="360" w:lineRule="auto"/>
        <w:jc w:val="both"/>
        <w:rPr>
          <w:rFonts w:asciiTheme="minorHAnsi" w:hAnsiTheme="minorHAnsi" w:cstheme="minorHAnsi"/>
          <w:sz w:val="18"/>
          <w:szCs w:val="18"/>
        </w:rPr>
      </w:pPr>
      <w:r w:rsidRPr="00645208">
        <w:rPr>
          <w:rFonts w:asciiTheme="minorHAnsi" w:hAnsiTheme="minorHAnsi" w:cstheme="minorHAnsi"/>
          <w:sz w:val="18"/>
          <w:szCs w:val="18"/>
        </w:rPr>
        <w:t>The evidence boundary between deterministic analytics and narrative generation depends on the completeness of the rules supplied to the narration layer; extending the platform to a new domain without equally rigorous interpretation rules could weaken that boundary in practice, even though the architecture is designed to prevent it.</w:t>
      </w:r>
    </w:p>
    <w:p w:rsidR="00273A3F" w:rsidRPr="00645208" w:rsidRDefault="007B6EA9" w:rsidP="002B3ECA">
      <w:pPr>
        <w:pStyle w:val="ListParagraph"/>
        <w:numPr>
          <w:ilvl w:val="0"/>
          <w:numId w:val="2"/>
        </w:numPr>
        <w:spacing w:after="60" w:line="360" w:lineRule="auto"/>
        <w:jc w:val="both"/>
        <w:rPr>
          <w:rFonts w:asciiTheme="minorHAnsi" w:hAnsiTheme="minorHAnsi" w:cstheme="minorHAnsi"/>
          <w:sz w:val="18"/>
          <w:szCs w:val="18"/>
        </w:rPr>
      </w:pPr>
      <w:r w:rsidRPr="00645208">
        <w:rPr>
          <w:rFonts w:asciiTheme="minorHAnsi" w:hAnsiTheme="minorHAnsi" w:cstheme="minorHAnsi"/>
          <w:sz w:val="18"/>
          <w:szCs w:val="18"/>
        </w:rPr>
        <w:t>The platform depends on external services — the configured database and the language model API — for both report generation and interactive use; unavailability of either would prevent the system from producing output.</w:t>
      </w:r>
    </w:p>
    <w:p w:rsidR="00273A3F" w:rsidRPr="00645208" w:rsidRDefault="003E6AF3" w:rsidP="002B3ECA">
      <w:pPr>
        <w:pStyle w:val="Heading2"/>
        <w:pBdr>
          <w:bottom w:val="single" w:sz="6" w:space="4" w:color="1F3864"/>
        </w:pBdr>
        <w:spacing w:before="200" w:after="90" w:line="360" w:lineRule="auto"/>
        <w:jc w:val="both"/>
        <w:rPr>
          <w:rFonts w:asciiTheme="minorHAnsi" w:hAnsiTheme="minorHAnsi" w:cstheme="minorHAnsi"/>
        </w:rPr>
      </w:pPr>
      <w:r>
        <w:rPr>
          <w:rFonts w:asciiTheme="minorHAnsi" w:hAnsiTheme="minorHAnsi" w:cstheme="minorHAnsi"/>
          <w:b/>
          <w:bCs/>
          <w:color w:val="1F3864"/>
          <w:sz w:val="25"/>
          <w:szCs w:val="25"/>
        </w:rPr>
        <w:t>16</w:t>
      </w:r>
      <w:r w:rsidR="007B6EA9" w:rsidRPr="00645208">
        <w:rPr>
          <w:rFonts w:asciiTheme="minorHAnsi" w:hAnsiTheme="minorHAnsi" w:cstheme="minorHAnsi"/>
          <w:b/>
          <w:bCs/>
          <w:color w:val="1F3864"/>
          <w:sz w:val="25"/>
          <w:szCs w:val="25"/>
        </w:rPr>
        <w:t>. Success Criteria</w:t>
      </w:r>
    </w:p>
    <w:p w:rsidR="00273A3F" w:rsidRPr="00645208" w:rsidRDefault="007B6EA9" w:rsidP="002B3ECA">
      <w:pPr>
        <w:pStyle w:val="ListParagraph"/>
        <w:numPr>
          <w:ilvl w:val="0"/>
          <w:numId w:val="2"/>
        </w:numPr>
        <w:spacing w:after="60" w:line="360" w:lineRule="auto"/>
        <w:jc w:val="both"/>
        <w:rPr>
          <w:rFonts w:asciiTheme="minorHAnsi" w:hAnsiTheme="minorHAnsi" w:cstheme="minorHAnsi"/>
          <w:sz w:val="18"/>
          <w:szCs w:val="18"/>
        </w:rPr>
      </w:pPr>
      <w:r w:rsidRPr="00645208">
        <w:rPr>
          <w:rFonts w:asciiTheme="minorHAnsi" w:hAnsiTheme="minorHAnsi" w:cstheme="minorHAnsi"/>
          <w:sz w:val="18"/>
          <w:szCs w:val="18"/>
        </w:rPr>
        <w:t>Every figure in a generated report can be traced back to a specific SQL or Python calculation, with no figure originating from the narration layer.</w:t>
      </w:r>
    </w:p>
    <w:p w:rsidR="00273A3F" w:rsidRPr="00645208" w:rsidRDefault="007B6EA9" w:rsidP="002B3ECA">
      <w:pPr>
        <w:pStyle w:val="ListParagraph"/>
        <w:numPr>
          <w:ilvl w:val="0"/>
          <w:numId w:val="2"/>
        </w:numPr>
        <w:spacing w:after="60" w:line="360" w:lineRule="auto"/>
        <w:jc w:val="both"/>
        <w:rPr>
          <w:rFonts w:asciiTheme="minorHAnsi" w:hAnsiTheme="minorHAnsi" w:cstheme="minorHAnsi"/>
          <w:sz w:val="18"/>
          <w:szCs w:val="18"/>
        </w:rPr>
      </w:pPr>
      <w:r w:rsidRPr="00645208">
        <w:rPr>
          <w:rFonts w:asciiTheme="minorHAnsi" w:hAnsiTheme="minorHAnsi" w:cstheme="minorHAnsi"/>
          <w:sz w:val="18"/>
          <w:szCs w:val="18"/>
        </w:rPr>
        <w:t>The same core engine and narration layer produce accurate, domain-appropriate reports for both the Retail Sales Analytics and Telecom Service Assurance Analytics configurations without code changes.</w:t>
      </w:r>
    </w:p>
    <w:p w:rsidR="00273A3F" w:rsidRPr="00645208" w:rsidRDefault="007B6EA9" w:rsidP="002B3ECA">
      <w:pPr>
        <w:pStyle w:val="ListParagraph"/>
        <w:numPr>
          <w:ilvl w:val="0"/>
          <w:numId w:val="2"/>
        </w:numPr>
        <w:spacing w:after="60" w:line="360" w:lineRule="auto"/>
        <w:jc w:val="both"/>
        <w:rPr>
          <w:rFonts w:asciiTheme="minorHAnsi" w:hAnsiTheme="minorHAnsi" w:cstheme="minorHAnsi"/>
          <w:sz w:val="18"/>
          <w:szCs w:val="18"/>
        </w:rPr>
      </w:pPr>
      <w:r w:rsidRPr="00645208">
        <w:rPr>
          <w:rFonts w:asciiTheme="minorHAnsi" w:hAnsiTheme="minorHAnsi" w:cstheme="minorHAnsi"/>
          <w:sz w:val="18"/>
          <w:szCs w:val="18"/>
        </w:rPr>
        <w:t>Status classifications, trend directions, and diagnostic rankings in generated reports match the deterministic values and labels supplied by the Business Interpretation Layer, with no substituted or inferred language.</w:t>
      </w:r>
    </w:p>
    <w:p w:rsidR="00273A3F" w:rsidRPr="00645208" w:rsidRDefault="007B6EA9" w:rsidP="002B3ECA">
      <w:pPr>
        <w:pStyle w:val="ListParagraph"/>
        <w:numPr>
          <w:ilvl w:val="0"/>
          <w:numId w:val="2"/>
        </w:numPr>
        <w:spacing w:after="60" w:line="360" w:lineRule="auto"/>
        <w:jc w:val="both"/>
        <w:rPr>
          <w:rFonts w:asciiTheme="minorHAnsi" w:hAnsiTheme="minorHAnsi" w:cstheme="minorHAnsi"/>
          <w:sz w:val="18"/>
          <w:szCs w:val="18"/>
        </w:rPr>
      </w:pPr>
      <w:r w:rsidRPr="00645208">
        <w:rPr>
          <w:rFonts w:asciiTheme="minorHAnsi" w:hAnsiTheme="minorHAnsi" w:cstheme="minorHAnsi"/>
          <w:sz w:val="18"/>
          <w:szCs w:val="18"/>
        </w:rPr>
        <w:t>Interactive queries that fall outside available evidence, such as an unconfigured comparison, are answered by stating that the evidence is unavailable, rather than by estimating a plausible answer.</w:t>
      </w:r>
    </w:p>
    <w:p w:rsidR="00273A3F" w:rsidRDefault="007B6EA9" w:rsidP="002B3ECA">
      <w:pPr>
        <w:pStyle w:val="ListParagraph"/>
        <w:numPr>
          <w:ilvl w:val="0"/>
          <w:numId w:val="2"/>
        </w:numPr>
        <w:spacing w:after="60" w:line="360" w:lineRule="auto"/>
        <w:jc w:val="both"/>
        <w:rPr>
          <w:rFonts w:asciiTheme="minorHAnsi" w:hAnsiTheme="minorHAnsi" w:cstheme="minorHAnsi"/>
          <w:sz w:val="18"/>
          <w:szCs w:val="18"/>
        </w:rPr>
      </w:pPr>
      <w:r w:rsidRPr="00645208">
        <w:rPr>
          <w:rFonts w:asciiTheme="minorHAnsi" w:hAnsiTheme="minorHAnsi" w:cstheme="minorHAnsi"/>
          <w:sz w:val="18"/>
          <w:szCs w:val="18"/>
        </w:rPr>
        <w:t xml:space="preserve">A new business domain can be </w:t>
      </w:r>
      <w:r w:rsidR="008870E8" w:rsidRPr="00645208">
        <w:rPr>
          <w:rFonts w:asciiTheme="minorHAnsi" w:hAnsiTheme="minorHAnsi" w:cstheme="minorHAnsi"/>
          <w:sz w:val="18"/>
          <w:szCs w:val="18"/>
        </w:rPr>
        <w:t>on boarded</w:t>
      </w:r>
      <w:r w:rsidRPr="00645208">
        <w:rPr>
          <w:rFonts w:asciiTheme="minorHAnsi" w:hAnsiTheme="minorHAnsi" w:cstheme="minorHAnsi"/>
          <w:sz w:val="18"/>
          <w:szCs w:val="18"/>
        </w:rPr>
        <w:t xml:space="preserve"> by adding a YAML configuration file and, where necessary, corresponding interpretation rules, without modifying the KPI engine or narration layer.</w:t>
      </w:r>
    </w:p>
    <w:p w:rsidR="00D86DE2" w:rsidRPr="00645208" w:rsidRDefault="00D86DE2" w:rsidP="002B3ECA">
      <w:pPr>
        <w:pStyle w:val="ListParagraph"/>
        <w:numPr>
          <w:ilvl w:val="0"/>
          <w:numId w:val="2"/>
        </w:numPr>
        <w:spacing w:after="60" w:line="360" w:lineRule="auto"/>
        <w:jc w:val="both"/>
        <w:rPr>
          <w:rFonts w:asciiTheme="minorHAnsi" w:hAnsiTheme="minorHAnsi" w:cstheme="minorHAnsi"/>
          <w:sz w:val="18"/>
          <w:szCs w:val="18"/>
        </w:rPr>
      </w:pPr>
      <w:r w:rsidRPr="00D86DE2">
        <w:rPr>
          <w:rFonts w:asciiTheme="minorHAnsi" w:hAnsiTheme="minorHAnsi" w:cstheme="minorHAnsi"/>
          <w:sz w:val="18"/>
          <w:szCs w:val="18"/>
        </w:rPr>
        <w:t>Interactive responses remain consistent with executive reports because both consume the same verified analytical findings.</w:t>
      </w:r>
    </w:p>
    <w:p w:rsidR="00273A3F" w:rsidRPr="00645208" w:rsidRDefault="003E6AF3" w:rsidP="002B3ECA">
      <w:pPr>
        <w:pStyle w:val="Heading2"/>
        <w:pBdr>
          <w:bottom w:val="single" w:sz="6" w:space="4" w:color="1F3864"/>
        </w:pBdr>
        <w:spacing w:before="200" w:after="90" w:line="360" w:lineRule="auto"/>
        <w:jc w:val="both"/>
        <w:rPr>
          <w:rFonts w:asciiTheme="minorHAnsi" w:hAnsiTheme="minorHAnsi" w:cstheme="minorHAnsi"/>
        </w:rPr>
      </w:pPr>
      <w:r>
        <w:rPr>
          <w:rFonts w:asciiTheme="minorHAnsi" w:hAnsiTheme="minorHAnsi" w:cstheme="minorHAnsi"/>
          <w:b/>
          <w:bCs/>
          <w:color w:val="1F3864"/>
          <w:sz w:val="25"/>
          <w:szCs w:val="25"/>
        </w:rPr>
        <w:t>17</w:t>
      </w:r>
      <w:r w:rsidR="007B6EA9" w:rsidRPr="00645208">
        <w:rPr>
          <w:rFonts w:asciiTheme="minorHAnsi" w:hAnsiTheme="minorHAnsi" w:cstheme="minorHAnsi"/>
          <w:b/>
          <w:bCs/>
          <w:color w:val="1F3864"/>
          <w:sz w:val="25"/>
          <w:szCs w:val="25"/>
        </w:rPr>
        <w:t>. Future Scalability</w:t>
      </w:r>
    </w:p>
    <w:p w:rsidR="00CE2AAB" w:rsidRPr="00645208" w:rsidRDefault="00CE2AAB" w:rsidP="002B3ECA">
      <w:pPr>
        <w:spacing w:after="110" w:line="360" w:lineRule="auto"/>
        <w:jc w:val="both"/>
        <w:rPr>
          <w:rFonts w:asciiTheme="minorHAnsi" w:hAnsiTheme="minorHAnsi" w:cstheme="minorHAnsi"/>
          <w:sz w:val="18"/>
          <w:szCs w:val="18"/>
        </w:rPr>
      </w:pPr>
      <w:r w:rsidRPr="00645208">
        <w:rPr>
          <w:rFonts w:asciiTheme="minorHAnsi" w:hAnsiTheme="minorHAnsi" w:cstheme="minorHAnsi"/>
          <w:sz w:val="18"/>
          <w:szCs w:val="18"/>
        </w:rPr>
        <w:t>InsightForge is designed around a configuration-driven architecture rather than a domain-specific solution. KPI definitions, thresholds, dimensions, business rules, and interpretation logic are maintained through external configuration, allowing the same analytics framework to be reused across different business domains.</w:t>
      </w:r>
    </w:p>
    <w:p w:rsidR="00CE2AAB" w:rsidRPr="00645208" w:rsidRDefault="00CE2AAB" w:rsidP="002B3ECA">
      <w:pPr>
        <w:spacing w:after="110" w:line="360" w:lineRule="auto"/>
        <w:jc w:val="both"/>
        <w:rPr>
          <w:rFonts w:asciiTheme="minorHAnsi" w:hAnsiTheme="minorHAnsi" w:cstheme="minorHAnsi"/>
          <w:sz w:val="18"/>
          <w:szCs w:val="18"/>
        </w:rPr>
      </w:pPr>
      <w:r w:rsidRPr="00645208">
        <w:rPr>
          <w:rFonts w:asciiTheme="minorHAnsi" w:hAnsiTheme="minorHAnsi" w:cstheme="minorHAnsi"/>
          <w:sz w:val="18"/>
          <w:szCs w:val="18"/>
        </w:rPr>
        <w:t>This approach has already been validated using two independent implementations—Retail Sales Analytics and Telecom Service Assurance Analytics—without changing the core SQL Analytics Layer, Python Analytics Engine, or Executive Narration Layer.</w:t>
      </w:r>
    </w:p>
    <w:p w:rsidR="00CE2AAB" w:rsidRPr="00645208" w:rsidRDefault="00CE2AAB" w:rsidP="002B3ECA">
      <w:pPr>
        <w:spacing w:after="110" w:line="360" w:lineRule="auto"/>
        <w:jc w:val="both"/>
        <w:rPr>
          <w:rFonts w:asciiTheme="minorHAnsi" w:hAnsiTheme="minorHAnsi" w:cstheme="minorHAnsi"/>
          <w:sz w:val="18"/>
          <w:szCs w:val="18"/>
        </w:rPr>
      </w:pPr>
      <w:r w:rsidRPr="00645208">
        <w:rPr>
          <w:rFonts w:asciiTheme="minorHAnsi" w:hAnsiTheme="minorHAnsi" w:cstheme="minorHAnsi"/>
          <w:sz w:val="18"/>
          <w:szCs w:val="18"/>
        </w:rPr>
        <w:t>Future enhancements will build on the existing architecture rather than replace it. These include broader period-over-period analysis, additional deterministic KPI and diagnostic libraries, support for more business domains through configuration, and integration with interactive dashboards. These enhancements extend the platform's analytical capability while preserving the deterministic and explainable design established in the current implementation.</w:t>
      </w:r>
    </w:p>
    <w:p w:rsidR="00273A3F" w:rsidRPr="00645208" w:rsidRDefault="00273A3F" w:rsidP="002B3ECA">
      <w:pPr>
        <w:spacing w:after="110" w:line="360" w:lineRule="auto"/>
        <w:jc w:val="both"/>
        <w:rPr>
          <w:rFonts w:asciiTheme="minorHAnsi" w:hAnsiTheme="minorHAnsi" w:cstheme="minorHAnsi"/>
        </w:rPr>
      </w:pPr>
    </w:p>
    <w:sectPr w:rsidR="00273A3F" w:rsidRPr="00645208" w:rsidSect="00273A3F">
      <w:footerReference w:type="default" r:id="rId8"/>
      <w:pgSz w:w="11906" w:h="16838"/>
      <w:pgMar w:top="1080" w:right="1260" w:bottom="1080" w:left="1260" w:header="708" w:footer="708"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9A780F" w:rsidRDefault="009A780F" w:rsidP="00273A3F">
      <w:r>
        <w:separator/>
      </w:r>
    </w:p>
  </w:endnote>
  <w:endnote w:type="continuationSeparator" w:id="0">
    <w:p w:rsidR="009A780F" w:rsidRDefault="009A780F" w:rsidP="00273A3F">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73A3F" w:rsidRDefault="007B6EA9">
    <w:pPr>
      <w:jc w:val="center"/>
    </w:pPr>
    <w:r>
      <w:rPr>
        <w:color w:val="808080"/>
        <w:sz w:val="16"/>
        <w:szCs w:val="16"/>
      </w:rPr>
      <w:t xml:space="preserve">InsightForge — Business Requirements Document   |   Page </w:t>
    </w:r>
    <w:r w:rsidR="00047D9A">
      <w:rPr>
        <w:color w:val="808080"/>
        <w:sz w:val="16"/>
        <w:szCs w:val="16"/>
      </w:rPr>
      <w:fldChar w:fldCharType="begin"/>
    </w:r>
    <w:r>
      <w:rPr>
        <w:color w:val="808080"/>
        <w:sz w:val="16"/>
        <w:szCs w:val="16"/>
      </w:rPr>
      <w:instrText>PAGE</w:instrText>
    </w:r>
    <w:r w:rsidR="00047D9A">
      <w:rPr>
        <w:color w:val="808080"/>
        <w:sz w:val="16"/>
        <w:szCs w:val="16"/>
      </w:rPr>
      <w:fldChar w:fldCharType="separate"/>
    </w:r>
    <w:r w:rsidR="003E6AF3">
      <w:rPr>
        <w:noProof/>
        <w:color w:val="808080"/>
        <w:sz w:val="16"/>
        <w:szCs w:val="16"/>
      </w:rPr>
      <w:t>6</w:t>
    </w:r>
    <w:r w:rsidR="00047D9A">
      <w:rPr>
        <w:color w:val="808080"/>
        <w:sz w:val="16"/>
        <w:szCs w:val="16"/>
      </w:rPr>
      <w:fldChar w:fldCharType="end"/>
    </w:r>
    <w:r>
      <w:rPr>
        <w:color w:val="808080"/>
        <w:sz w:val="16"/>
        <w:szCs w:val="16"/>
      </w:rPr>
      <w:t xml:space="preserve"> of </w:t>
    </w:r>
    <w:r w:rsidR="00047D9A">
      <w:rPr>
        <w:color w:val="808080"/>
        <w:sz w:val="16"/>
        <w:szCs w:val="16"/>
      </w:rPr>
      <w:fldChar w:fldCharType="begin"/>
    </w:r>
    <w:r>
      <w:rPr>
        <w:color w:val="808080"/>
        <w:sz w:val="16"/>
        <w:szCs w:val="16"/>
      </w:rPr>
      <w:instrText>NUMPAGES</w:instrText>
    </w:r>
    <w:r w:rsidR="00047D9A">
      <w:rPr>
        <w:color w:val="808080"/>
        <w:sz w:val="16"/>
        <w:szCs w:val="16"/>
      </w:rPr>
      <w:fldChar w:fldCharType="separate"/>
    </w:r>
    <w:r w:rsidR="003E6AF3">
      <w:rPr>
        <w:noProof/>
        <w:color w:val="808080"/>
        <w:sz w:val="16"/>
        <w:szCs w:val="16"/>
      </w:rPr>
      <w:t>8</w:t>
    </w:r>
    <w:r w:rsidR="00047D9A">
      <w:rPr>
        <w:color w:val="808080"/>
        <w:sz w:val="16"/>
        <w:szCs w:val="16"/>
      </w:rPr>
      <w:fldChar w:fldCharType="end"/>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9A780F" w:rsidRDefault="009A780F" w:rsidP="00273A3F">
      <w:r>
        <w:separator/>
      </w:r>
    </w:p>
  </w:footnote>
  <w:footnote w:type="continuationSeparator" w:id="0">
    <w:p w:rsidR="009A780F" w:rsidRDefault="009A780F" w:rsidP="00273A3F">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570348FC"/>
    <w:multiLevelType w:val="hybridMultilevel"/>
    <w:tmpl w:val="4ED25D94"/>
    <w:lvl w:ilvl="0" w:tplc="6616B58A">
      <w:start w:val="1"/>
      <w:numFmt w:val="bullet"/>
      <w:lvlText w:val="•"/>
      <w:lvlJc w:val="left"/>
      <w:pPr>
        <w:ind w:left="420" w:hanging="260"/>
      </w:pPr>
    </w:lvl>
    <w:lvl w:ilvl="1" w:tplc="E4F64FB4">
      <w:numFmt w:val="decimal"/>
      <w:lvlText w:val=""/>
      <w:lvlJc w:val="left"/>
    </w:lvl>
    <w:lvl w:ilvl="2" w:tplc="FB5C9DB8">
      <w:numFmt w:val="decimal"/>
      <w:lvlText w:val=""/>
      <w:lvlJc w:val="left"/>
    </w:lvl>
    <w:lvl w:ilvl="3" w:tplc="0CE4D58E">
      <w:numFmt w:val="decimal"/>
      <w:lvlText w:val=""/>
      <w:lvlJc w:val="left"/>
    </w:lvl>
    <w:lvl w:ilvl="4" w:tplc="4BF2DAFA">
      <w:numFmt w:val="decimal"/>
      <w:lvlText w:val=""/>
      <w:lvlJc w:val="left"/>
    </w:lvl>
    <w:lvl w:ilvl="5" w:tplc="562EBAE2">
      <w:numFmt w:val="decimal"/>
      <w:lvlText w:val=""/>
      <w:lvlJc w:val="left"/>
    </w:lvl>
    <w:lvl w:ilvl="6" w:tplc="F0162796">
      <w:numFmt w:val="decimal"/>
      <w:lvlText w:val=""/>
      <w:lvlJc w:val="left"/>
    </w:lvl>
    <w:lvl w:ilvl="7" w:tplc="1D582034">
      <w:numFmt w:val="decimal"/>
      <w:lvlText w:val=""/>
      <w:lvlJc w:val="left"/>
    </w:lvl>
    <w:lvl w:ilvl="8" w:tplc="DCE601A8">
      <w:numFmt w:val="decimal"/>
      <w:lvlText w:val=""/>
      <w:lvlJc w:val="left"/>
    </w:lvl>
  </w:abstractNum>
  <w:abstractNum w:abstractNumId="1">
    <w:nsid w:val="71C906C9"/>
    <w:multiLevelType w:val="hybridMultilevel"/>
    <w:tmpl w:val="B548FB5E"/>
    <w:lvl w:ilvl="0" w:tplc="0F78C73E">
      <w:start w:val="1"/>
      <w:numFmt w:val="bullet"/>
      <w:lvlText w:val="●"/>
      <w:lvlJc w:val="left"/>
      <w:pPr>
        <w:ind w:left="720" w:hanging="360"/>
      </w:pPr>
    </w:lvl>
    <w:lvl w:ilvl="1" w:tplc="3EEAED2C">
      <w:start w:val="1"/>
      <w:numFmt w:val="bullet"/>
      <w:lvlText w:val="○"/>
      <w:lvlJc w:val="left"/>
      <w:pPr>
        <w:ind w:left="1440" w:hanging="360"/>
      </w:pPr>
    </w:lvl>
    <w:lvl w:ilvl="2" w:tplc="6D9EAAA8">
      <w:start w:val="1"/>
      <w:numFmt w:val="bullet"/>
      <w:lvlText w:val="■"/>
      <w:lvlJc w:val="left"/>
      <w:pPr>
        <w:ind w:left="2160" w:hanging="360"/>
      </w:pPr>
    </w:lvl>
    <w:lvl w:ilvl="3" w:tplc="7682BD80">
      <w:start w:val="1"/>
      <w:numFmt w:val="bullet"/>
      <w:lvlText w:val="●"/>
      <w:lvlJc w:val="left"/>
      <w:pPr>
        <w:ind w:left="2880" w:hanging="360"/>
      </w:pPr>
    </w:lvl>
    <w:lvl w:ilvl="4" w:tplc="6C1CD2A4">
      <w:start w:val="1"/>
      <w:numFmt w:val="bullet"/>
      <w:lvlText w:val="○"/>
      <w:lvlJc w:val="left"/>
      <w:pPr>
        <w:ind w:left="3600" w:hanging="360"/>
      </w:pPr>
    </w:lvl>
    <w:lvl w:ilvl="5" w:tplc="8CD89EFA">
      <w:start w:val="1"/>
      <w:numFmt w:val="bullet"/>
      <w:lvlText w:val="■"/>
      <w:lvlJc w:val="left"/>
      <w:pPr>
        <w:ind w:left="4320" w:hanging="360"/>
      </w:pPr>
    </w:lvl>
    <w:lvl w:ilvl="6" w:tplc="7178A43E">
      <w:start w:val="1"/>
      <w:numFmt w:val="bullet"/>
      <w:lvlText w:val="●"/>
      <w:lvlJc w:val="left"/>
      <w:pPr>
        <w:ind w:left="5040" w:hanging="360"/>
      </w:pPr>
    </w:lvl>
    <w:lvl w:ilvl="7" w:tplc="714E4348">
      <w:start w:val="1"/>
      <w:numFmt w:val="bullet"/>
      <w:lvlText w:val="●"/>
      <w:lvlJc w:val="left"/>
      <w:pPr>
        <w:ind w:left="5760" w:hanging="360"/>
      </w:pPr>
    </w:lvl>
    <w:lvl w:ilvl="8" w:tplc="A0D80400">
      <w:start w:val="1"/>
      <w:numFmt w:val="bullet"/>
      <w:lvlText w:val="●"/>
      <w:lvlJc w:val="left"/>
      <w:pPr>
        <w:ind w:left="6480" w:hanging="360"/>
      </w:pPr>
    </w:lvl>
  </w:abstractNum>
  <w:num w:numId="1">
    <w:abstractNumId w:val="1"/>
    <w:lvlOverride w:ilvl="0">
      <w:startOverride w:val="1"/>
    </w:lvlOverride>
  </w:num>
  <w:num w:numId="2">
    <w:abstractNumId w:val="0"/>
    <w:lvlOverride w:ilvl="0">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30"/>
  <w:displayBackgroundShape/>
  <w:proofState w:spelling="clean" w:grammar="clean"/>
  <w:defaultTabStop w:val="720"/>
  <w:characterSpacingControl w:val="doNotCompress"/>
  <w:footnotePr>
    <w:footnote w:id="-1"/>
    <w:footnote w:id="0"/>
  </w:footnotePr>
  <w:endnotePr>
    <w:endnote w:id="-1"/>
    <w:endnote w:id="0"/>
  </w:endnotePr>
  <w:compat/>
  <w:rsids>
    <w:rsidRoot w:val="00273A3F"/>
    <w:rsid w:val="00047D9A"/>
    <w:rsid w:val="000D438E"/>
    <w:rsid w:val="00273A3F"/>
    <w:rsid w:val="002B3ECA"/>
    <w:rsid w:val="00356507"/>
    <w:rsid w:val="003E3475"/>
    <w:rsid w:val="003E6AF3"/>
    <w:rsid w:val="00645208"/>
    <w:rsid w:val="007B6EA9"/>
    <w:rsid w:val="007E45CE"/>
    <w:rsid w:val="008870E8"/>
    <w:rsid w:val="009A780F"/>
    <w:rsid w:val="00A141BC"/>
    <w:rsid w:val="00AC776F"/>
    <w:rsid w:val="00BB25BC"/>
    <w:rsid w:val="00C057F4"/>
    <w:rsid w:val="00C609D5"/>
    <w:rsid w:val="00CE2AAB"/>
    <w:rsid w:val="00D86DE2"/>
    <w:rsid w:val="00DF678C"/>
    <w:rsid w:val="00EA7732"/>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717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Calibri"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C057F4"/>
  </w:style>
  <w:style w:type="paragraph" w:styleId="Heading1">
    <w:name w:val="heading 1"/>
    <w:qFormat/>
    <w:rsid w:val="00273A3F"/>
    <w:pPr>
      <w:outlineLvl w:val="0"/>
    </w:pPr>
    <w:rPr>
      <w:color w:val="2E74B5"/>
      <w:sz w:val="32"/>
      <w:szCs w:val="32"/>
    </w:rPr>
  </w:style>
  <w:style w:type="paragraph" w:styleId="Heading2">
    <w:name w:val="heading 2"/>
    <w:qFormat/>
    <w:rsid w:val="00273A3F"/>
    <w:pPr>
      <w:outlineLvl w:val="1"/>
    </w:pPr>
    <w:rPr>
      <w:color w:val="2E74B5"/>
      <w:sz w:val="26"/>
      <w:szCs w:val="26"/>
    </w:rPr>
  </w:style>
  <w:style w:type="paragraph" w:styleId="Heading3">
    <w:name w:val="heading 3"/>
    <w:qFormat/>
    <w:rsid w:val="00273A3F"/>
    <w:pPr>
      <w:outlineLvl w:val="2"/>
    </w:pPr>
    <w:rPr>
      <w:color w:val="1F4D78"/>
      <w:sz w:val="24"/>
      <w:szCs w:val="24"/>
    </w:rPr>
  </w:style>
  <w:style w:type="paragraph" w:styleId="Heading4">
    <w:name w:val="heading 4"/>
    <w:qFormat/>
    <w:rsid w:val="00273A3F"/>
    <w:pPr>
      <w:outlineLvl w:val="3"/>
    </w:pPr>
    <w:rPr>
      <w:i/>
      <w:iCs/>
      <w:color w:val="2E74B5"/>
    </w:rPr>
  </w:style>
  <w:style w:type="paragraph" w:styleId="Heading5">
    <w:name w:val="heading 5"/>
    <w:qFormat/>
    <w:rsid w:val="00273A3F"/>
    <w:pPr>
      <w:outlineLvl w:val="4"/>
    </w:pPr>
    <w:rPr>
      <w:color w:val="2E74B5"/>
    </w:rPr>
  </w:style>
  <w:style w:type="paragraph" w:styleId="Heading6">
    <w:name w:val="heading 6"/>
    <w:qFormat/>
    <w:rsid w:val="00273A3F"/>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sid w:val="00273A3F"/>
    <w:rPr>
      <w:sz w:val="56"/>
      <w:szCs w:val="56"/>
    </w:rPr>
  </w:style>
  <w:style w:type="paragraph" w:customStyle="1" w:styleId="Strong1">
    <w:name w:val="Strong1"/>
    <w:qFormat/>
    <w:rsid w:val="00273A3F"/>
    <w:rPr>
      <w:b/>
      <w:bCs/>
    </w:rPr>
  </w:style>
  <w:style w:type="paragraph" w:styleId="ListParagraph">
    <w:name w:val="List Paragraph"/>
    <w:qFormat/>
    <w:rsid w:val="00273A3F"/>
  </w:style>
  <w:style w:type="character" w:styleId="Hyperlink">
    <w:name w:val="Hyperlink"/>
    <w:uiPriority w:val="99"/>
    <w:unhideWhenUsed/>
    <w:rsid w:val="00273A3F"/>
    <w:rPr>
      <w:color w:val="0563C1"/>
      <w:u w:val="single"/>
    </w:rPr>
  </w:style>
  <w:style w:type="character" w:styleId="FootnoteReference">
    <w:name w:val="footnote reference"/>
    <w:uiPriority w:val="99"/>
    <w:semiHidden/>
    <w:unhideWhenUsed/>
    <w:rsid w:val="00273A3F"/>
    <w:rPr>
      <w:vertAlign w:val="superscript"/>
    </w:rPr>
  </w:style>
  <w:style w:type="paragraph" w:styleId="FootnoteText">
    <w:name w:val="footnote text"/>
    <w:link w:val="FootnoteTextChar"/>
    <w:uiPriority w:val="99"/>
    <w:semiHidden/>
    <w:unhideWhenUsed/>
    <w:rsid w:val="00273A3F"/>
  </w:style>
  <w:style w:type="character" w:customStyle="1" w:styleId="FootnoteTextChar">
    <w:name w:val="Footnote Text Char"/>
    <w:link w:val="FootnoteText"/>
    <w:uiPriority w:val="99"/>
    <w:semiHidden/>
    <w:unhideWhenUsed/>
    <w:rsid w:val="00273A3F"/>
    <w:rPr>
      <w:sz w:val="20"/>
      <w:szCs w:val="20"/>
    </w:rPr>
  </w:style>
  <w:style w:type="character" w:styleId="EndnoteReference">
    <w:name w:val="endnote reference"/>
    <w:uiPriority w:val="99"/>
    <w:semiHidden/>
    <w:unhideWhenUsed/>
    <w:rsid w:val="00273A3F"/>
    <w:rPr>
      <w:vertAlign w:val="superscript"/>
    </w:rPr>
  </w:style>
  <w:style w:type="paragraph" w:styleId="EndnoteText">
    <w:name w:val="endnote text"/>
    <w:link w:val="EndnoteTextChar"/>
    <w:uiPriority w:val="99"/>
    <w:semiHidden/>
    <w:unhideWhenUsed/>
    <w:rsid w:val="00273A3F"/>
  </w:style>
  <w:style w:type="character" w:customStyle="1" w:styleId="EndnoteTextChar">
    <w:name w:val="Endnote Text Char"/>
    <w:link w:val="EndnoteText"/>
    <w:uiPriority w:val="99"/>
    <w:semiHidden/>
    <w:unhideWhenUsed/>
    <w:rsid w:val="00273A3F"/>
    <w:rPr>
      <w:sz w:val="20"/>
      <w:szCs w:val="20"/>
    </w:rPr>
  </w:style>
  <w:style w:type="paragraph" w:styleId="BalloonText">
    <w:name w:val="Balloon Text"/>
    <w:basedOn w:val="Normal"/>
    <w:link w:val="BalloonTextChar"/>
    <w:uiPriority w:val="99"/>
    <w:semiHidden/>
    <w:unhideWhenUsed/>
    <w:rsid w:val="008870E8"/>
    <w:rPr>
      <w:rFonts w:ascii="Tahoma" w:hAnsi="Tahoma" w:cs="Tahoma"/>
      <w:sz w:val="16"/>
      <w:szCs w:val="16"/>
    </w:rPr>
  </w:style>
  <w:style w:type="character" w:customStyle="1" w:styleId="BalloonTextChar">
    <w:name w:val="Balloon Text Char"/>
    <w:basedOn w:val="DefaultParagraphFont"/>
    <w:link w:val="BalloonText"/>
    <w:uiPriority w:val="99"/>
    <w:semiHidden/>
    <w:rsid w:val="008870E8"/>
    <w:rPr>
      <w:rFonts w:ascii="Tahoma" w:hAnsi="Tahoma" w:cs="Tahoma"/>
      <w:sz w:val="16"/>
      <w:szCs w:val="16"/>
    </w:rPr>
  </w:style>
</w:styles>
</file>

<file path=word/webSettings.xml><?xml version="1.0" encoding="utf-8"?>
<w:webSettings xmlns:r="http://schemas.openxmlformats.org/officeDocument/2006/relationships" xmlns:w="http://schemas.openxmlformats.org/wordprocessingml/2006/main">
  <w:divs>
    <w:div w:id="356345872">
      <w:bodyDiv w:val="1"/>
      <w:marLeft w:val="0"/>
      <w:marRight w:val="0"/>
      <w:marTop w:val="0"/>
      <w:marBottom w:val="0"/>
      <w:divBdr>
        <w:top w:val="none" w:sz="0" w:space="0" w:color="auto"/>
        <w:left w:val="none" w:sz="0" w:space="0" w:color="auto"/>
        <w:bottom w:val="none" w:sz="0" w:space="0" w:color="auto"/>
        <w:right w:val="none" w:sz="0" w:space="0" w:color="auto"/>
      </w:divBdr>
      <w:divsChild>
        <w:div w:id="1980762116">
          <w:marLeft w:val="0"/>
          <w:marRight w:val="0"/>
          <w:marTop w:val="0"/>
          <w:marBottom w:val="0"/>
          <w:divBdr>
            <w:top w:val="none" w:sz="0" w:space="0" w:color="auto"/>
            <w:left w:val="none" w:sz="0" w:space="0" w:color="auto"/>
            <w:bottom w:val="none" w:sz="0" w:space="0" w:color="auto"/>
            <w:right w:val="none" w:sz="0" w:space="0" w:color="auto"/>
          </w:divBdr>
          <w:divsChild>
            <w:div w:id="107818530">
              <w:marLeft w:val="0"/>
              <w:marRight w:val="0"/>
              <w:marTop w:val="0"/>
              <w:marBottom w:val="0"/>
              <w:divBdr>
                <w:top w:val="none" w:sz="0" w:space="0" w:color="auto"/>
                <w:left w:val="none" w:sz="0" w:space="0" w:color="auto"/>
                <w:bottom w:val="none" w:sz="0" w:space="0" w:color="auto"/>
                <w:right w:val="none" w:sz="0" w:space="0" w:color="auto"/>
              </w:divBdr>
              <w:divsChild>
                <w:div w:id="243340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6418802">
      <w:bodyDiv w:val="1"/>
      <w:marLeft w:val="0"/>
      <w:marRight w:val="0"/>
      <w:marTop w:val="0"/>
      <w:marBottom w:val="0"/>
      <w:divBdr>
        <w:top w:val="none" w:sz="0" w:space="0" w:color="auto"/>
        <w:left w:val="none" w:sz="0" w:space="0" w:color="auto"/>
        <w:bottom w:val="none" w:sz="0" w:space="0" w:color="auto"/>
        <w:right w:val="none" w:sz="0" w:space="0" w:color="auto"/>
      </w:divBdr>
    </w:div>
    <w:div w:id="643004177">
      <w:bodyDiv w:val="1"/>
      <w:marLeft w:val="0"/>
      <w:marRight w:val="0"/>
      <w:marTop w:val="0"/>
      <w:marBottom w:val="0"/>
      <w:divBdr>
        <w:top w:val="none" w:sz="0" w:space="0" w:color="auto"/>
        <w:left w:val="none" w:sz="0" w:space="0" w:color="auto"/>
        <w:bottom w:val="none" w:sz="0" w:space="0" w:color="auto"/>
        <w:right w:val="none" w:sz="0" w:space="0" w:color="auto"/>
      </w:divBdr>
    </w:div>
    <w:div w:id="896278562">
      <w:bodyDiv w:val="1"/>
      <w:marLeft w:val="0"/>
      <w:marRight w:val="0"/>
      <w:marTop w:val="0"/>
      <w:marBottom w:val="0"/>
      <w:divBdr>
        <w:top w:val="none" w:sz="0" w:space="0" w:color="auto"/>
        <w:left w:val="none" w:sz="0" w:space="0" w:color="auto"/>
        <w:bottom w:val="none" w:sz="0" w:space="0" w:color="auto"/>
        <w:right w:val="none" w:sz="0" w:space="0" w:color="auto"/>
      </w:divBdr>
    </w:div>
    <w:div w:id="1499424895">
      <w:bodyDiv w:val="1"/>
      <w:marLeft w:val="0"/>
      <w:marRight w:val="0"/>
      <w:marTop w:val="0"/>
      <w:marBottom w:val="0"/>
      <w:divBdr>
        <w:top w:val="none" w:sz="0" w:space="0" w:color="auto"/>
        <w:left w:val="none" w:sz="0" w:space="0" w:color="auto"/>
        <w:bottom w:val="none" w:sz="0" w:space="0" w:color="auto"/>
        <w:right w:val="none" w:sz="0" w:space="0" w:color="auto"/>
      </w:divBdr>
      <w:divsChild>
        <w:div w:id="1380976166">
          <w:marLeft w:val="0"/>
          <w:marRight w:val="0"/>
          <w:marTop w:val="0"/>
          <w:marBottom w:val="0"/>
          <w:divBdr>
            <w:top w:val="none" w:sz="0" w:space="0" w:color="auto"/>
            <w:left w:val="none" w:sz="0" w:space="0" w:color="auto"/>
            <w:bottom w:val="none" w:sz="0" w:space="0" w:color="auto"/>
            <w:right w:val="none" w:sz="0" w:space="0" w:color="auto"/>
          </w:divBdr>
          <w:divsChild>
            <w:div w:id="414203063">
              <w:marLeft w:val="0"/>
              <w:marRight w:val="0"/>
              <w:marTop w:val="0"/>
              <w:marBottom w:val="0"/>
              <w:divBdr>
                <w:top w:val="none" w:sz="0" w:space="0" w:color="auto"/>
                <w:left w:val="none" w:sz="0" w:space="0" w:color="auto"/>
                <w:bottom w:val="none" w:sz="0" w:space="0" w:color="auto"/>
                <w:right w:val="none" w:sz="0" w:space="0" w:color="auto"/>
              </w:divBdr>
              <w:divsChild>
                <w:div w:id="1931312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0403241">
      <w:bodyDiv w:val="1"/>
      <w:marLeft w:val="0"/>
      <w:marRight w:val="0"/>
      <w:marTop w:val="0"/>
      <w:marBottom w:val="0"/>
      <w:divBdr>
        <w:top w:val="none" w:sz="0" w:space="0" w:color="auto"/>
        <w:left w:val="none" w:sz="0" w:space="0" w:color="auto"/>
        <w:bottom w:val="none" w:sz="0" w:space="0" w:color="auto"/>
        <w:right w:val="none" w:sz="0" w:space="0" w:color="auto"/>
      </w:divBdr>
      <w:divsChild>
        <w:div w:id="1161190322">
          <w:marLeft w:val="0"/>
          <w:marRight w:val="0"/>
          <w:marTop w:val="0"/>
          <w:marBottom w:val="0"/>
          <w:divBdr>
            <w:top w:val="none" w:sz="0" w:space="0" w:color="auto"/>
            <w:left w:val="none" w:sz="0" w:space="0" w:color="auto"/>
            <w:bottom w:val="none" w:sz="0" w:space="0" w:color="auto"/>
            <w:right w:val="none" w:sz="0" w:space="0" w:color="auto"/>
          </w:divBdr>
          <w:divsChild>
            <w:div w:id="291517902">
              <w:marLeft w:val="0"/>
              <w:marRight w:val="0"/>
              <w:marTop w:val="0"/>
              <w:marBottom w:val="0"/>
              <w:divBdr>
                <w:top w:val="none" w:sz="0" w:space="0" w:color="auto"/>
                <w:left w:val="none" w:sz="0" w:space="0" w:color="auto"/>
                <w:bottom w:val="none" w:sz="0" w:space="0" w:color="auto"/>
                <w:right w:val="none" w:sz="0" w:space="0" w:color="auto"/>
              </w:divBdr>
              <w:divsChild>
                <w:div w:id="1306473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5723554">
      <w:bodyDiv w:val="1"/>
      <w:marLeft w:val="0"/>
      <w:marRight w:val="0"/>
      <w:marTop w:val="0"/>
      <w:marBottom w:val="0"/>
      <w:divBdr>
        <w:top w:val="none" w:sz="0" w:space="0" w:color="auto"/>
        <w:left w:val="none" w:sz="0" w:space="0" w:color="auto"/>
        <w:bottom w:val="none" w:sz="0" w:space="0" w:color="auto"/>
        <w:right w:val="none" w:sz="0" w:space="0" w:color="auto"/>
      </w:divBdr>
    </w:div>
    <w:div w:id="206224323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42</TotalTime>
  <Pages>8</Pages>
  <Words>3175</Words>
  <Characters>18103</Characters>
  <Application>Microsoft Office Word</Application>
  <DocSecurity>0</DocSecurity>
  <Lines>150</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21236</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Dead By Sunrise</cp:lastModifiedBy>
  <cp:revision>7</cp:revision>
  <dcterms:created xsi:type="dcterms:W3CDTF">2026-08-15T22:45:00Z</dcterms:created>
  <dcterms:modified xsi:type="dcterms:W3CDTF">2026-08-19T17:21:00Z</dcterms:modified>
</cp:coreProperties>
</file>