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2B" w:rsidRPr="00B96F14" w:rsidRDefault="00B96F1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concept of transfer learning was used to create a classifier which was already trained on image-net dataset by fastai thus enabling the classifier to achieve higher accuracy. I created a CNN based learner to classify cell images. It had an initial accuracy of about 94%. Then after fine tuning the model using discriminative learning rate using the fit_one_cycle method in fastai lib the accuracy increased to about 98.5%. Maybe if the model was trained for some more time the accuracy could have increased to 99.5% but I wasn’t sure if I could have avoided overfitting by then because the learning rate had to be kept lower in the subsequent training cycles keeping in mind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the plot of </w:t>
      </w:r>
      <w:r w:rsidR="002845C1">
        <w:rPr>
          <w:rFonts w:ascii="Arial" w:hAnsi="Arial" w:cs="Arial"/>
          <w:sz w:val="28"/>
          <w:szCs w:val="28"/>
          <w:lang w:val="en-US"/>
        </w:rPr>
        <w:t>losses vs learning rate.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63342B" w:rsidRPr="00B9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33"/>
    <w:rsid w:val="002845C1"/>
    <w:rsid w:val="0063342B"/>
    <w:rsid w:val="00B96F14"/>
    <w:rsid w:val="00F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2019-07-20T10:55:00Z</dcterms:created>
  <dcterms:modified xsi:type="dcterms:W3CDTF">2019-07-20T11:06:00Z</dcterms:modified>
</cp:coreProperties>
</file>