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0F2C59"/>
          <w:sz w:val="44"/>
        </w:rPr>
        <w:t>CampusIQ: Student Success &amp; Retention Intelligence System</w:t>
      </w:r>
    </w:p>
    <w:p>
      <w:pPr>
        <w:spacing w:after="280"/>
      </w:pPr>
      <w:r>
        <w:rPr>
          <w:rFonts w:ascii="Arial" w:hAnsi="Arial"/>
          <w:color w:val="646464"/>
          <w:sz w:val="22"/>
        </w:rPr>
        <w:t>Executive Project Report • Real-Time 7-Vector Telemetry &amp; Automated Academic Interventions</w:t>
      </w:r>
    </w:p>
    <w:tbl>
      <w:tblPr>
        <w:tblW w:type="auto" w:w="0"/>
        <w:jc w:val="center"/>
        <w:tblLayout w:type="fixed"/>
        <w:tblLook w:firstColumn="1" w:firstRow="1" w:lastColumn="0" w:lastRow="0" w:noHBand="0" w:noVBand="1" w:val="04A0"/>
      </w:tblPr>
      <w:tblGrid>
        <w:gridCol w:w="3168"/>
        <w:gridCol w:w="3168"/>
        <w:gridCol w:w="3024"/>
      </w:tblGrid>
      <w:tr>
        <w:tc>
          <w:tcPr>
            <w:tcW w:type="dxa" w:w="3120"/>
            <w:shd w:fill="F0F4F8"/>
            <w:tcMar>
              <w:top w:w="80" w:type="dxa"/>
              <w:bottom w:w="80" w:type="dxa"/>
              <w:left w:w="100" w:type="dxa"/>
              <w:right w:w="100" w:type="dxa"/>
            </w:tcMar>
          </w:tcPr>
          <w:p>
            <w:r>
              <w:rPr>
                <w:color w:val="646464"/>
                <w:sz w:val="17"/>
              </w:rPr>
              <w:t>Platform Version:</w:t>
              <w:br/>
            </w:r>
            <w:r>
              <w:rPr>
                <w:b/>
                <w:sz w:val="19"/>
              </w:rPr>
              <w:t>v1.0 (Production-Ready)</w:t>
            </w:r>
          </w:p>
        </w:tc>
        <w:tc>
          <w:tcPr>
            <w:tcW w:type="dxa" w:w="3120"/>
            <w:shd w:fill="F0F4F8"/>
            <w:tcMar>
              <w:top w:w="80" w:type="dxa"/>
              <w:bottom w:w="80" w:type="dxa"/>
              <w:left w:w="100" w:type="dxa"/>
              <w:right w:w="100" w:type="dxa"/>
            </w:tcMar>
          </w:tcPr>
          <w:p>
            <w:r>
              <w:rPr>
                <w:color w:val="646464"/>
                <w:sz w:val="17"/>
              </w:rPr>
              <w:t>Architecture:</w:t>
              <w:br/>
            </w:r>
            <w:r>
              <w:rPr>
                <w:b/>
                <w:sz w:val="19"/>
              </w:rPr>
              <w:t>Node.js / Express / RBAC</w:t>
            </w:r>
          </w:p>
        </w:tc>
        <w:tc>
          <w:tcPr>
            <w:tcW w:type="dxa" w:w="3120"/>
            <w:shd w:fill="F0F4F8"/>
            <w:tcMar>
              <w:top w:w="80" w:type="dxa"/>
              <w:bottom w:w="80" w:type="dxa"/>
              <w:left w:w="100" w:type="dxa"/>
              <w:right w:w="100" w:type="dxa"/>
            </w:tcMar>
          </w:tcPr>
          <w:p>
            <w:r>
              <w:rPr>
                <w:color w:val="646464"/>
                <w:sz w:val="17"/>
              </w:rPr>
              <w:t>Target Audience:</w:t>
              <w:br/>
            </w:r>
            <w:r>
              <w:rPr>
                <w:b/>
                <w:sz w:val="19"/>
              </w:rPr>
              <w:t>Higher Education Leadership</w:t>
            </w:r>
          </w:p>
        </w:tc>
      </w:tr>
    </w:tbl>
    <w:p>
      <w:pPr>
        <w:spacing w:after="160"/>
      </w:pPr>
    </w:p>
    <w:p>
      <w:pPr>
        <w:pStyle w:val="Heading1"/>
        <w:spacing w:before="320" w:after="120"/>
      </w:pPr>
      <w:r>
        <w:rPr>
          <w:b/>
          <w:color w:val="0F2C59"/>
          <w:sz w:val="32"/>
        </w:rPr>
        <w:t>1. Executive Summary</w:t>
      </w:r>
    </w:p>
    <w:p>
      <w:pPr>
        <w:spacing w:line="276" w:lineRule="auto" w:after="160"/>
      </w:pPr>
      <w:r>
        <w:t>CampusIQ is an enterprise-grade academic analytics and retention intelligence platform designed specifically for universities, colleges, and higher education administrators. While conventional academic systems rely exclusively on trailing grade reports and post-semester failures, CampusIQ continuously synthesizes real-time student activity across 7 distinct telemetry vectors. By calculating an explainable Student Success Score (scaled 0–100), the platform identifies critical retention risks weeks in advance and autonomously drafts personalized, actionable intervention notices powered by local LLM intelligence.</w:t>
      </w:r>
    </w:p>
    <w:p>
      <w:pPr>
        <w:pStyle w:val="Heading1"/>
        <w:spacing w:before="320" w:after="120"/>
      </w:pPr>
      <w:r>
        <w:rPr>
          <w:b/>
          <w:color w:val="0F2C59"/>
          <w:sz w:val="32"/>
        </w:rPr>
        <w:t>2. Problem Statement &amp; Motivation</w:t>
      </w:r>
    </w:p>
    <w:p>
      <w:pPr>
        <w:spacing w:after="80"/>
      </w:pPr>
      <w:r>
        <w:t>Educational institutions face systemic challenges when identifying and preventing student attrition:</w:t>
      </w:r>
    </w:p>
    <w:p>
      <w:pPr>
        <w:pStyle w:val="ListBullet"/>
        <w:spacing w:after="60"/>
      </w:pPr>
      <w:r>
        <w:rPr>
          <w:b/>
          <w:color w:val="1F4E79"/>
        </w:rPr>
        <w:t xml:space="preserve">Lagging Indicators: </w:t>
      </w:r>
      <w:r>
        <w:t>Traditional academic ERPs only flag students after semester-end exams, missing crucial early-intervention windows.</w:t>
      </w:r>
    </w:p>
    <w:p>
      <w:pPr>
        <w:pStyle w:val="ListBullet"/>
        <w:spacing w:after="60"/>
      </w:pPr>
      <w:r>
        <w:rPr>
          <w:b/>
          <w:color w:val="1F4E79"/>
        </w:rPr>
        <w:t xml:space="preserve">Data Fragmentation: </w:t>
      </w:r>
      <w:r>
        <w:t>Attendance logs, LMS platform analytics, coding/skill benchmarks, and faculty feedback remain isolated in departmental silos.</w:t>
      </w:r>
    </w:p>
    <w:p>
      <w:pPr>
        <w:pStyle w:val="ListBullet"/>
        <w:spacing w:after="60"/>
      </w:pPr>
      <w:r>
        <w:rPr>
          <w:b/>
          <w:color w:val="1F4E79"/>
        </w:rPr>
        <w:t xml:space="preserve">Administrative Friction: </w:t>
      </w:r>
      <w:r>
        <w:t>Faculty advisors and mentors lack standardized, automated mechanisms to generate formal statutory warning letters and personalized recovery roadmaps for at-risk students.</w:t>
      </w:r>
    </w:p>
    <w:p>
      <w:pPr>
        <w:pStyle w:val="ListBullet"/>
        <w:spacing w:after="60"/>
      </w:pPr>
      <w:r>
        <w:rPr>
          <w:b/>
          <w:color w:val="1F4E79"/>
        </w:rPr>
        <w:t xml:space="preserve">Student Privacy Blindspots: </w:t>
      </w:r>
      <w:r>
        <w:t>Many analytics dashboards inadvertently expose peer comparisons, causing morale decline rather than providing constructive, air-gapped personal guidance.</w:t>
      </w:r>
    </w:p>
    <w:p>
      <w:pPr>
        <w:pStyle w:val="Heading1"/>
        <w:spacing w:before="320" w:after="120"/>
      </w:pPr>
      <w:r>
        <w:rPr>
          <w:b/>
          <w:color w:val="0F2C59"/>
          <w:sz w:val="32"/>
        </w:rPr>
        <w:t>3. Core Innovation: The 7-Vector Student Success Score</w:t>
      </w:r>
    </w:p>
    <w:p>
      <w:pPr>
        <w:spacing w:after="160"/>
      </w:pPr>
      <w:r>
        <w:t>Every enrolled student's composite Success Score is calculated in real time using a multi-dimensional weighted model: Success Score = Σ (W_i × S_i), where W_i denotes the vector weight and S_i denotes the normalized component score (0–100).</w:t>
      </w:r>
    </w:p>
    <w:tbl>
      <w:tblPr>
        <w:tblW w:type="auto" w:w="0"/>
        <w:jc w:val="center"/>
        <w:tblLayout w:type="fixed"/>
        <w:tblLook w:firstColumn="1" w:firstRow="1" w:lastColumn="0" w:lastRow="0" w:noHBand="0" w:noVBand="1" w:val="04A0"/>
      </w:tblPr>
      <w:tblGrid>
        <w:gridCol w:w="2880"/>
        <w:gridCol w:w="1440"/>
        <w:gridCol w:w="5040"/>
      </w:tblGrid>
      <w:tr>
        <w:tc>
          <w:tcPr>
            <w:tcW w:type="dxa" w:w="3120"/>
            <w:shd w:fill="1F4E79"/>
            <w:tcMar>
              <w:top w:w="100" w:type="dxa"/>
              <w:bottom w:w="100" w:type="dxa"/>
              <w:left w:w="120" w:type="dxa"/>
              <w:right w:w="120" w:type="dxa"/>
            </w:tcMar>
          </w:tcPr>
          <w:p>
            <w:r>
              <w:rPr>
                <w:b/>
                <w:color w:val="FFFFFF"/>
                <w:sz w:val="19"/>
              </w:rPr>
              <w:t>Telemetry Vector</w:t>
            </w:r>
          </w:p>
        </w:tc>
        <w:tc>
          <w:tcPr>
            <w:tcW w:type="dxa" w:w="3120"/>
            <w:shd w:fill="1F4E79"/>
            <w:tcMar>
              <w:top w:w="100" w:type="dxa"/>
              <w:bottom w:w="100" w:type="dxa"/>
              <w:left w:w="120" w:type="dxa"/>
              <w:right w:w="120" w:type="dxa"/>
            </w:tcMar>
          </w:tcPr>
          <w:p>
            <w:r>
              <w:rPr>
                <w:b/>
                <w:color w:val="FFFFFF"/>
                <w:sz w:val="19"/>
              </w:rPr>
              <w:t>Weight</w:t>
            </w:r>
          </w:p>
        </w:tc>
        <w:tc>
          <w:tcPr>
            <w:tcW w:type="dxa" w:w="3120"/>
            <w:shd w:fill="1F4E79"/>
            <w:tcMar>
              <w:top w:w="100" w:type="dxa"/>
              <w:bottom w:w="100" w:type="dxa"/>
              <w:left w:w="120" w:type="dxa"/>
              <w:right w:w="120" w:type="dxa"/>
            </w:tcMar>
          </w:tcPr>
          <w:p>
            <w:r>
              <w:rPr>
                <w:b/>
                <w:color w:val="FFFFFF"/>
                <w:sz w:val="19"/>
              </w:rPr>
              <w:t>Evaluation Criteria &amp; Inputs</w:t>
            </w:r>
          </w:p>
        </w:tc>
      </w:tr>
      <w:tr>
        <w:tc>
          <w:tcPr>
            <w:tcW w:type="dxa" w:w="3120"/>
            <w:shd w:fill="F9FBFD"/>
            <w:tcMar>
              <w:top w:w="80" w:type="dxa"/>
              <w:bottom w:w="80" w:type="dxa"/>
              <w:left w:w="100" w:type="dxa"/>
              <w:right w:w="100" w:type="dxa"/>
            </w:tcMar>
          </w:tcPr>
          <w:p>
            <w:r>
              <w:rPr>
                <w:b/>
                <w:sz w:val="18"/>
              </w:rPr>
              <w:t>1. Academic Performance</w:t>
            </w:r>
          </w:p>
        </w:tc>
        <w:tc>
          <w:tcPr>
            <w:tcW w:type="dxa" w:w="3120"/>
            <w:shd w:fill="F9FBFD"/>
            <w:tcMar>
              <w:top w:w="80" w:type="dxa"/>
              <w:bottom w:w="80" w:type="dxa"/>
              <w:left w:w="100" w:type="dxa"/>
              <w:right w:w="100" w:type="dxa"/>
            </w:tcMar>
          </w:tcPr>
          <w:p>
            <w:r>
              <w:rPr>
                <w:b/>
                <w:color w:val="1F4E79"/>
                <w:sz w:val="18"/>
              </w:rPr>
              <w:t>30%</w:t>
            </w:r>
          </w:p>
        </w:tc>
        <w:tc>
          <w:tcPr>
            <w:tcW w:type="dxa" w:w="3120"/>
            <w:shd w:fill="F9FBFD"/>
            <w:tcMar>
              <w:top w:w="80" w:type="dxa"/>
              <w:bottom w:w="80" w:type="dxa"/>
              <w:left w:w="100" w:type="dxa"/>
              <w:right w:w="100" w:type="dxa"/>
            </w:tcMar>
          </w:tcPr>
          <w:p>
            <w:r>
              <w:rPr>
                <w:sz w:val="18"/>
              </w:rPr>
              <w:t>Normalized CGPA, midsem &amp; endsem exam averages, minus active backlog penalties.</w:t>
            </w:r>
          </w:p>
        </w:tc>
      </w:tr>
      <w:tr>
        <w:tc>
          <w:tcPr>
            <w:tcW w:type="dxa" w:w="3120"/>
            <w:shd w:fill="FFFFFF"/>
            <w:tcMar>
              <w:top w:w="80" w:type="dxa"/>
              <w:bottom w:w="80" w:type="dxa"/>
              <w:left w:w="100" w:type="dxa"/>
              <w:right w:w="100" w:type="dxa"/>
            </w:tcMar>
          </w:tcPr>
          <w:p>
            <w:r>
              <w:rPr>
                <w:b/>
                <w:sz w:val="18"/>
              </w:rPr>
              <w:t>2. Placement Readiness</w:t>
            </w:r>
          </w:p>
        </w:tc>
        <w:tc>
          <w:tcPr>
            <w:tcW w:type="dxa" w:w="3120"/>
            <w:shd w:fill="FFFFFF"/>
            <w:tcMar>
              <w:top w:w="80" w:type="dxa"/>
              <w:bottom w:w="80" w:type="dxa"/>
              <w:left w:w="100" w:type="dxa"/>
              <w:right w:w="100" w:type="dxa"/>
            </w:tcMar>
          </w:tcPr>
          <w:p>
            <w:r>
              <w:rPr>
                <w:b/>
                <w:color w:val="1F4E79"/>
                <w:sz w:val="18"/>
              </w:rPr>
              <w:t>20%</w:t>
            </w:r>
          </w:p>
        </w:tc>
        <w:tc>
          <w:tcPr>
            <w:tcW w:type="dxa" w:w="3120"/>
            <w:shd w:fill="FFFFFF"/>
            <w:tcMar>
              <w:top w:w="80" w:type="dxa"/>
              <w:bottom w:w="80" w:type="dxa"/>
              <w:left w:w="100" w:type="dxa"/>
              <w:right w:w="100" w:type="dxa"/>
            </w:tcMar>
          </w:tcPr>
          <w:p>
            <w:r>
              <w:rPr>
                <w:sz w:val="18"/>
              </w:rPr>
              <w:t>Mock interview evaluations, quantitative aptitude test percentiles, coding challenge scores.</w:t>
            </w:r>
          </w:p>
        </w:tc>
      </w:tr>
      <w:tr>
        <w:tc>
          <w:tcPr>
            <w:tcW w:type="dxa" w:w="3120"/>
            <w:shd w:fill="F9FBFD"/>
            <w:tcMar>
              <w:top w:w="80" w:type="dxa"/>
              <w:bottom w:w="80" w:type="dxa"/>
              <w:left w:w="100" w:type="dxa"/>
              <w:right w:w="100" w:type="dxa"/>
            </w:tcMar>
          </w:tcPr>
          <w:p>
            <w:r>
              <w:rPr>
                <w:b/>
                <w:sz w:val="18"/>
              </w:rPr>
              <w:t>3. Granular Attendance</w:t>
            </w:r>
          </w:p>
        </w:tc>
        <w:tc>
          <w:tcPr>
            <w:tcW w:type="dxa" w:w="3120"/>
            <w:shd w:fill="F9FBFD"/>
            <w:tcMar>
              <w:top w:w="80" w:type="dxa"/>
              <w:bottom w:w="80" w:type="dxa"/>
              <w:left w:w="100" w:type="dxa"/>
              <w:right w:w="100" w:type="dxa"/>
            </w:tcMar>
          </w:tcPr>
          <w:p>
            <w:r>
              <w:rPr>
                <w:b/>
                <w:color w:val="1F4E79"/>
                <w:sz w:val="18"/>
              </w:rPr>
              <w:t>15%</w:t>
            </w:r>
          </w:p>
        </w:tc>
        <w:tc>
          <w:tcPr>
            <w:tcW w:type="dxa" w:w="3120"/>
            <w:shd w:fill="F9FBFD"/>
            <w:tcMar>
              <w:top w:w="80" w:type="dxa"/>
              <w:bottom w:w="80" w:type="dxa"/>
              <w:left w:w="100" w:type="dxa"/>
              <w:right w:w="100" w:type="dxa"/>
            </w:tcMar>
          </w:tcPr>
          <w:p>
            <w:r>
              <w:rPr>
                <w:sz w:val="18"/>
              </w:rPr>
              <w:t>Decomposed attendance across lectures, labs, and remedial sessions. Debarment alert triggered if class attendance &lt; 75%.</w:t>
            </w:r>
          </w:p>
        </w:tc>
      </w:tr>
      <w:tr>
        <w:tc>
          <w:tcPr>
            <w:tcW w:type="dxa" w:w="3120"/>
            <w:shd w:fill="FFFFFF"/>
            <w:tcMar>
              <w:top w:w="80" w:type="dxa"/>
              <w:bottom w:w="80" w:type="dxa"/>
              <w:left w:w="100" w:type="dxa"/>
              <w:right w:w="100" w:type="dxa"/>
            </w:tcMar>
          </w:tcPr>
          <w:p>
            <w:r>
              <w:rPr>
                <w:b/>
                <w:sz w:val="18"/>
              </w:rPr>
              <w:t>4. Technical Skills</w:t>
            </w:r>
          </w:p>
        </w:tc>
        <w:tc>
          <w:tcPr>
            <w:tcW w:type="dxa" w:w="3120"/>
            <w:shd w:fill="FFFFFF"/>
            <w:tcMar>
              <w:top w:w="80" w:type="dxa"/>
              <w:bottom w:w="80" w:type="dxa"/>
              <w:left w:w="100" w:type="dxa"/>
              <w:right w:w="100" w:type="dxa"/>
            </w:tcMar>
          </w:tcPr>
          <w:p>
            <w:r>
              <w:rPr>
                <w:b/>
                <w:color w:val="1F4E79"/>
                <w:sz w:val="18"/>
              </w:rPr>
              <w:t>15%</w:t>
            </w:r>
          </w:p>
        </w:tc>
        <w:tc>
          <w:tcPr>
            <w:tcW w:type="dxa" w:w="3120"/>
            <w:shd w:fill="FFFFFF"/>
            <w:tcMar>
              <w:top w:w="80" w:type="dxa"/>
              <w:bottom w:w="80" w:type="dxa"/>
              <w:left w:w="100" w:type="dxa"/>
              <w:right w:w="100" w:type="dxa"/>
            </w:tcMar>
          </w:tcPr>
          <w:p>
            <w:r>
              <w:rPr>
                <w:sz w:val="18"/>
              </w:rPr>
              <w:t>Verified industry certifications (Coursera, AWS, Oracle), LeetCode problems solved, GitHub portfolio.</w:t>
            </w:r>
          </w:p>
        </w:tc>
      </w:tr>
      <w:tr>
        <w:tc>
          <w:tcPr>
            <w:tcW w:type="dxa" w:w="3120"/>
            <w:shd w:fill="F9FBFD"/>
            <w:tcMar>
              <w:top w:w="80" w:type="dxa"/>
              <w:bottom w:w="80" w:type="dxa"/>
              <w:left w:w="100" w:type="dxa"/>
              <w:right w:w="100" w:type="dxa"/>
            </w:tcMar>
          </w:tcPr>
          <w:p>
            <w:r>
              <w:rPr>
                <w:b/>
                <w:sz w:val="18"/>
              </w:rPr>
              <w:t>5. LMS Engagement</w:t>
            </w:r>
          </w:p>
        </w:tc>
        <w:tc>
          <w:tcPr>
            <w:tcW w:type="dxa" w:w="3120"/>
            <w:shd w:fill="F9FBFD"/>
            <w:tcMar>
              <w:top w:w="80" w:type="dxa"/>
              <w:bottom w:w="80" w:type="dxa"/>
              <w:left w:w="100" w:type="dxa"/>
              <w:right w:w="100" w:type="dxa"/>
            </w:tcMar>
          </w:tcPr>
          <w:p>
            <w:r>
              <w:rPr>
                <w:b/>
                <w:color w:val="1F4E79"/>
                <w:sz w:val="18"/>
              </w:rPr>
              <w:t>10%</w:t>
            </w:r>
          </w:p>
        </w:tc>
        <w:tc>
          <w:tcPr>
            <w:tcW w:type="dxa" w:w="3120"/>
            <w:shd w:fill="F9FBFD"/>
            <w:tcMar>
              <w:top w:w="80" w:type="dxa"/>
              <w:bottom w:w="80" w:type="dxa"/>
              <w:left w:w="100" w:type="dxa"/>
              <w:right w:w="100" w:type="dxa"/>
            </w:tcMar>
          </w:tcPr>
          <w:p>
            <w:r>
              <w:rPr>
                <w:sz w:val="18"/>
              </w:rPr>
              <w:t>Learning Management System weekly login hours, timeliness of online assignment submissions.</w:t>
            </w:r>
          </w:p>
        </w:tc>
      </w:tr>
      <w:tr>
        <w:tc>
          <w:tcPr>
            <w:tcW w:type="dxa" w:w="3120"/>
            <w:shd w:fill="FFFFFF"/>
            <w:tcMar>
              <w:top w:w="80" w:type="dxa"/>
              <w:bottom w:w="80" w:type="dxa"/>
              <w:left w:w="100" w:type="dxa"/>
              <w:right w:w="100" w:type="dxa"/>
            </w:tcMar>
          </w:tcPr>
          <w:p>
            <w:r>
              <w:rPr>
                <w:b/>
                <w:sz w:val="18"/>
              </w:rPr>
              <w:t>6. Campus Engagement</w:t>
            </w:r>
          </w:p>
        </w:tc>
        <w:tc>
          <w:tcPr>
            <w:tcW w:type="dxa" w:w="3120"/>
            <w:shd w:fill="FFFFFF"/>
            <w:tcMar>
              <w:top w:w="80" w:type="dxa"/>
              <w:bottom w:w="80" w:type="dxa"/>
              <w:left w:w="100" w:type="dxa"/>
              <w:right w:w="100" w:type="dxa"/>
            </w:tcMar>
          </w:tcPr>
          <w:p>
            <w:r>
              <w:rPr>
                <w:b/>
                <w:color w:val="1F4E79"/>
                <w:sz w:val="18"/>
              </w:rPr>
              <w:t>5%</w:t>
            </w:r>
          </w:p>
        </w:tc>
        <w:tc>
          <w:tcPr>
            <w:tcW w:type="dxa" w:w="3120"/>
            <w:shd w:fill="FFFFFF"/>
            <w:tcMar>
              <w:top w:w="80" w:type="dxa"/>
              <w:bottom w:w="80" w:type="dxa"/>
              <w:left w:w="100" w:type="dxa"/>
              <w:right w:w="100" w:type="dxa"/>
            </w:tcMar>
          </w:tcPr>
          <w:p>
            <w:r>
              <w:rPr>
                <w:sz w:val="18"/>
              </w:rPr>
              <w:t>Hackathon participation and wins, active involvement in technical and student clubs.</w:t>
            </w:r>
          </w:p>
        </w:tc>
      </w:tr>
      <w:tr>
        <w:tc>
          <w:tcPr>
            <w:tcW w:type="dxa" w:w="3120"/>
            <w:shd w:fill="F9FBFD"/>
            <w:tcMar>
              <w:top w:w="80" w:type="dxa"/>
              <w:bottom w:w="80" w:type="dxa"/>
              <w:left w:w="100" w:type="dxa"/>
              <w:right w:w="100" w:type="dxa"/>
            </w:tcMar>
          </w:tcPr>
          <w:p>
            <w:r>
              <w:rPr>
                <w:b/>
                <w:sz w:val="18"/>
              </w:rPr>
              <w:t>7. Faculty &amp; Mentor Feedback</w:t>
            </w:r>
          </w:p>
        </w:tc>
        <w:tc>
          <w:tcPr>
            <w:tcW w:type="dxa" w:w="3120"/>
            <w:shd w:fill="F9FBFD"/>
            <w:tcMar>
              <w:top w:w="80" w:type="dxa"/>
              <w:bottom w:w="80" w:type="dxa"/>
              <w:left w:w="100" w:type="dxa"/>
              <w:right w:w="100" w:type="dxa"/>
            </w:tcMar>
          </w:tcPr>
          <w:p>
            <w:r>
              <w:rPr>
                <w:b/>
                <w:color w:val="1F4E79"/>
                <w:sz w:val="18"/>
              </w:rPr>
              <w:t>5%</w:t>
            </w:r>
          </w:p>
        </w:tc>
        <w:tc>
          <w:tcPr>
            <w:tcW w:type="dxa" w:w="3120"/>
            <w:shd w:fill="F9FBFD"/>
            <w:tcMar>
              <w:top w:w="80" w:type="dxa"/>
              <w:bottom w:w="80" w:type="dxa"/>
              <w:left w:w="100" w:type="dxa"/>
              <w:right w:w="100" w:type="dxa"/>
            </w:tcMar>
          </w:tcPr>
          <w:p>
            <w:r>
              <w:rPr>
                <w:sz w:val="18"/>
              </w:rPr>
              <w:t>Standardized behavioral ratings, qualitative observation scores, and advisory check-ins.</w:t>
            </w:r>
          </w:p>
        </w:tc>
      </w:tr>
    </w:tbl>
    <w:p>
      <w:pPr>
        <w:spacing w:after="120"/>
      </w:pPr>
    </w:p>
    <w:p>
      <w:pPr>
        <w:pStyle w:val="Heading2"/>
        <w:spacing w:before="240" w:after="80"/>
      </w:pPr>
      <w:r>
        <w:rPr>
          <w:b/>
          <w:color w:val="1F4E79"/>
          <w:sz w:val="26"/>
        </w:rPr>
        <w:t>Risk Threshold Classification Matrix</w:t>
      </w:r>
    </w:p>
    <w:p>
      <w:pPr>
        <w:spacing w:after="160"/>
      </w:pPr>
      <w:r>
        <w:rPr>
          <w:b/>
          <w:color w:val="BA1A1A"/>
        </w:rPr>
        <w:t xml:space="preserve">• High Critical Risk: </w:t>
      </w:r>
      <w:r>
        <w:t>Success Score &lt; 50 OR Placement Readiness &lt; 40. Immediate administrative intervention mandated.</w:t>
        <w:br/>
      </w:r>
      <w:r>
        <w:rPr>
          <w:b/>
          <w:color w:val="C87800"/>
        </w:rPr>
        <w:t xml:space="preserve">• Moderate Monitor Risk: </w:t>
      </w:r>
      <w:r>
        <w:t>Success Score &lt; 70 OR Placement Readiness &lt; 60 OR Attendance &lt; 75%. Targeted faculty counseling advised.</w:t>
        <w:br/>
      </w:r>
      <w:r>
        <w:rPr>
          <w:b/>
          <w:color w:val="069669"/>
        </w:rPr>
        <w:t xml:space="preserve">• Low Risk / Dean's List: </w:t>
      </w:r>
      <w:r>
        <w:t>Success Score ≥ 70, Placement ≥ 60, and Attendance ≥ 75%. Honors track and corporate placement acceleration.</w:t>
      </w:r>
    </w:p>
    <w:p>
      <w:pPr>
        <w:pStyle w:val="Heading1"/>
        <w:spacing w:before="320" w:after="120"/>
      </w:pPr>
      <w:r>
        <w:rPr>
          <w:b/>
          <w:color w:val="0F2C59"/>
          <w:sz w:val="32"/>
        </w:rPr>
        <w:t>4. Hierarchical Role-Based Access Control (RBAC)</w:t>
      </w:r>
    </w:p>
    <w:p>
      <w:pPr>
        <w:spacing w:after="80"/>
      </w:pPr>
      <w:r>
        <w:t>CampusIQ enforces strict programmatic boundary isolation across institutional hierarchies via query-driven RBAC routing:</w:t>
      </w:r>
    </w:p>
    <w:p>
      <w:pPr>
        <w:pStyle w:val="ListBullet"/>
        <w:spacing w:after="80"/>
      </w:pPr>
      <w:r>
        <w:rPr>
          <w:b/>
          <w:color w:val="0F2C59"/>
          <w:sz w:val="19"/>
        </w:rPr>
        <w:t>Tier 01: Dean / Provost Office (/dashboard?role=dean)</w:t>
        <w:br/>
      </w:r>
      <w:r>
        <w:rPr>
          <w:sz w:val="18"/>
        </w:rPr>
        <w:t>Full institutional scope across all academic schools (50 student baseline). Provides global 7-vector competency radar, cohort attrition forecasts, cross-department synthesis, custom dataset ingestion, and factory reset modules.</w:t>
      </w:r>
    </w:p>
    <w:p>
      <w:pPr>
        <w:pStyle w:val="ListBullet"/>
        <w:spacing w:after="80"/>
      </w:pPr>
      <w:r>
        <w:rPr>
          <w:b/>
          <w:color w:val="0F2C59"/>
          <w:sz w:val="19"/>
        </w:rPr>
        <w:t>Tier 02: Head of Department (/dashboard?role=hod&amp;department=...)</w:t>
        <w:br/>
      </w:r>
      <w:r>
        <w:rPr>
          <w:sz w:val="18"/>
        </w:rPr>
        <w:t>Departmental cohort scope (CSE, IT, ECE, DSAI). Monitors subject grade spreads (Midsem vs. Endsem), faculty feedback trends, and prerequisites compliance.</w:t>
      </w:r>
    </w:p>
    <w:p>
      <w:pPr>
        <w:pStyle w:val="ListBullet"/>
        <w:spacing w:after="80"/>
      </w:pPr>
      <w:r>
        <w:rPr>
          <w:b/>
          <w:color w:val="0F2C59"/>
          <w:sz w:val="19"/>
        </w:rPr>
        <w:t>Tier 03: Batch Head (/dashboard?role=batch_head&amp;batch=...)</w:t>
        <w:br/>
      </w:r>
      <w:r>
        <w:rPr>
          <w:sz w:val="18"/>
        </w:rPr>
        <w:t>Graduation cohort scope (e.g., Batch 2021–2025). Focuses on longitudinal credit velocity, backlog clearance cadence, and campus placement eligibility gates.</w:t>
      </w:r>
    </w:p>
    <w:p>
      <w:pPr>
        <w:pStyle w:val="ListBullet"/>
        <w:spacing w:after="80"/>
      </w:pPr>
      <w:r>
        <w:rPr>
          <w:b/>
          <w:color w:val="0F2C59"/>
          <w:sz w:val="19"/>
        </w:rPr>
        <w:t>Tier 04: Class Mentor (/dashboard?role=mentor&amp;class=...)</w:t>
        <w:br/>
      </w:r>
      <w:r>
        <w:rPr>
          <w:sz w:val="18"/>
        </w:rPr>
        <w:t>Section-level operational scope (e.g., CSE-A). Real-time attendance monitoring, statutory parent notifications, and 1-click student remedial triggers.</w:t>
      </w:r>
    </w:p>
    <w:p>
      <w:pPr>
        <w:pStyle w:val="ListBullet"/>
        <w:spacing w:after="80"/>
      </w:pPr>
      <w:r>
        <w:rPr>
          <w:b/>
          <w:color w:val="0F2C59"/>
          <w:sz w:val="19"/>
        </w:rPr>
        <w:t>Tier 05: Student Personal Portal (/dashboard?role=student&amp;id=...)</w:t>
        <w:br/>
      </w:r>
      <w:r>
        <w:rPr>
          <w:sz w:val="18"/>
        </w:rPr>
        <w:t>Strict air-gapped individual privacy. Zero lateral peer exposure. Students inspect their personal 7-vector competency radar, granular attendance bars, subject breakdowns, and interactive recovery roadmaps.</w:t>
      </w:r>
    </w:p>
    <w:p>
      <w:pPr>
        <w:pStyle w:val="Heading1"/>
        <w:spacing w:before="320" w:after="120"/>
      </w:pPr>
      <w:r>
        <w:rPr>
          <w:b/>
          <w:color w:val="0F2C59"/>
          <w:sz w:val="32"/>
        </w:rPr>
        <w:t>5. Automated Intervention Protocol &amp; Visual Analytics</w:t>
      </w:r>
    </w:p>
    <w:p>
      <w:pPr>
        <w:pStyle w:val="Heading2"/>
        <w:spacing w:before="240" w:after="80"/>
      </w:pPr>
      <w:r>
        <w:rPr>
          <w:b/>
          <w:color w:val="1F4E79"/>
          <w:sz w:val="26"/>
        </w:rPr>
        <w:t>Automated LLM-Styled Intervention Protocol</w:t>
      </w:r>
    </w:p>
    <w:p>
      <w:pPr>
        <w:spacing w:after="120"/>
      </w:pPr>
      <w:r>
        <w:t>CampusIQ features an autonomous remediation dispatch workflow accessible via GET /api/generate-intervention/:id. When faculty advisors or mentors identify an at-risk student, a single click opens a comprehensive diagnostic modal detailing:</w:t>
        <w:br/>
        <w:t>1. Root-Cause Analysis: Specific attendance deficit percentage (e.g., 58.4% vs 75% limit) and active backlogs.</w:t>
        <w:br/>
        <w:t>2. 3-Step Remediation Protocol: Form-14 warning issuance, enrollment in 14-day subject remedial clinics, and bi-weekly advisory audits.</w:t>
        <w:br/>
        <w:t>3. Action Triggers: One-click clipboard copy with real-time feedback toast, plus automated email dispatch simulation.</w:t>
      </w:r>
    </w:p>
    <w:p>
      <w:pPr>
        <w:pStyle w:val="Heading2"/>
        <w:spacing w:before="240" w:after="80"/>
      </w:pPr>
      <w:r>
        <w:rPr>
          <w:b/>
          <w:color w:val="1F4E79"/>
          <w:sz w:val="26"/>
        </w:rPr>
        <w:t>Interactive Visual Telemetry Suite</w:t>
      </w:r>
    </w:p>
    <w:p>
      <w:pPr>
        <w:spacing w:after="160"/>
      </w:pPr>
      <w:r>
        <w:t>• Responsive 7-Vector Spider / Radar Chart: Plotted via SVG and Chart.js comparing student or cohort telemetry against accreditation benchmarks.</w:t>
        <w:br/>
        <w:t>• Subject Score Benchmark Progression: Interactive bar visualizations comparing Midsem, Endsem, and Target averages for core courses (DSA, DBMS, OS, CN).</w:t>
        <w:br/>
        <w:t>• High-Density Filter Toolbar: Live text search with instant filters for Department (CSE, IT, ECE, DSAI), Risk Vectors, and a dedicated '&lt;75% Attendance Alert' toggle.</w:t>
      </w:r>
    </w:p>
    <w:p>
      <w:pPr>
        <w:pStyle w:val="Heading1"/>
        <w:spacing w:before="320" w:after="120"/>
      </w:pPr>
      <w:r>
        <w:rPr>
          <w:b/>
          <w:color w:val="0F2C59"/>
          <w:sz w:val="32"/>
        </w:rPr>
        <w:t>6. Technology Stack &amp; Implementation Architecture</w:t>
      </w:r>
    </w:p>
    <w:tbl>
      <w:tblPr>
        <w:tblW w:type="auto" w:w="0"/>
        <w:jc w:val="center"/>
        <w:tblLook w:firstColumn="1" w:firstRow="1" w:lastColumn="0" w:lastRow="0" w:noHBand="0" w:noVBand="1" w:val="04A0"/>
      </w:tblPr>
      <w:tblGrid>
        <w:gridCol w:w="3168"/>
        <w:gridCol w:w="6192"/>
      </w:tblGrid>
      <w:tr>
        <w:tc>
          <w:tcPr>
            <w:tcW w:type="dxa" w:w="4680"/>
            <w:shd w:fill="F0F4F8"/>
            <w:tcMar>
              <w:top w:w="60" w:type="dxa"/>
              <w:bottom w:w="60" w:type="dxa"/>
              <w:left w:w="100" w:type="dxa"/>
              <w:right w:w="100" w:type="dxa"/>
            </w:tcMar>
          </w:tcPr>
          <w:p>
            <w:r>
              <w:rPr>
                <w:b/>
                <w:sz w:val="18"/>
              </w:rPr>
              <w:t>Backend Runtime</w:t>
            </w:r>
          </w:p>
        </w:tc>
        <w:tc>
          <w:tcPr>
            <w:tcW w:type="dxa" w:w="4680"/>
            <w:shd w:fill="F0F4F8"/>
            <w:tcMar>
              <w:top w:w="60" w:type="dxa"/>
              <w:bottom w:w="60" w:type="dxa"/>
              <w:left w:w="100" w:type="dxa"/>
              <w:right w:w="100" w:type="dxa"/>
            </w:tcMar>
          </w:tcPr>
          <w:p>
            <w:r>
              <w:rPr>
                <w:sz w:val="18"/>
              </w:rPr>
              <w:t>Node.js (v18+) &amp; Express.js REST API</w:t>
            </w:r>
          </w:p>
        </w:tc>
      </w:tr>
      <w:tr>
        <w:tc>
          <w:tcPr>
            <w:tcW w:type="dxa" w:w="4680"/>
            <w:shd w:fill="FFFFFF"/>
            <w:tcMar>
              <w:top w:w="60" w:type="dxa"/>
              <w:bottom w:w="60" w:type="dxa"/>
              <w:left w:w="100" w:type="dxa"/>
              <w:right w:w="100" w:type="dxa"/>
            </w:tcMar>
          </w:tcPr>
          <w:p>
            <w:r>
              <w:rPr>
                <w:b/>
                <w:sz w:val="18"/>
              </w:rPr>
              <w:t>Frontend Interface</w:t>
            </w:r>
          </w:p>
        </w:tc>
        <w:tc>
          <w:tcPr>
            <w:tcW w:type="dxa" w:w="4680"/>
            <w:shd w:fill="FFFFFF"/>
            <w:tcMar>
              <w:top w:w="60" w:type="dxa"/>
              <w:bottom w:w="60" w:type="dxa"/>
              <w:left w:w="100" w:type="dxa"/>
              <w:right w:w="100" w:type="dxa"/>
            </w:tcMar>
          </w:tcPr>
          <w:p>
            <w:r>
              <w:rPr>
                <w:sz w:val="18"/>
              </w:rPr>
              <w:t>Single Page Application (SPA), Vanilla JavaScript (ES6+), Tailwind CSS, Chart.js</w:t>
            </w:r>
          </w:p>
        </w:tc>
      </w:tr>
      <w:tr>
        <w:tc>
          <w:tcPr>
            <w:tcW w:type="dxa" w:w="4680"/>
            <w:shd w:fill="F0F4F8"/>
            <w:tcMar>
              <w:top w:w="60" w:type="dxa"/>
              <w:bottom w:w="60" w:type="dxa"/>
              <w:left w:w="100" w:type="dxa"/>
              <w:right w:w="100" w:type="dxa"/>
            </w:tcMar>
          </w:tcPr>
          <w:p>
            <w:r>
              <w:rPr>
                <w:b/>
                <w:sz w:val="18"/>
              </w:rPr>
              <w:t>Data Persistence</w:t>
            </w:r>
          </w:p>
        </w:tc>
        <w:tc>
          <w:tcPr>
            <w:tcW w:type="dxa" w:w="4680"/>
            <w:shd w:fill="F0F4F8"/>
            <w:tcMar>
              <w:top w:w="60" w:type="dxa"/>
              <w:bottom w:w="60" w:type="dxa"/>
              <w:left w:w="100" w:type="dxa"/>
              <w:right w:w="100" w:type="dxa"/>
            </w:tcMar>
          </w:tcPr>
          <w:p>
            <w:r>
              <w:rPr>
                <w:sz w:val="18"/>
              </w:rPr>
              <w:t>Cached JSON database (students.json) with dynamic in-memory analytics enrichment</w:t>
            </w:r>
          </w:p>
        </w:tc>
      </w:tr>
      <w:tr>
        <w:tc>
          <w:tcPr>
            <w:tcW w:type="dxa" w:w="4680"/>
            <w:shd w:fill="FFFFFF"/>
            <w:tcMar>
              <w:top w:w="60" w:type="dxa"/>
              <w:bottom w:w="60" w:type="dxa"/>
              <w:left w:w="100" w:type="dxa"/>
              <w:right w:w="100" w:type="dxa"/>
            </w:tcMar>
          </w:tcPr>
          <w:p>
            <w:r>
              <w:rPr>
                <w:b/>
                <w:sz w:val="18"/>
              </w:rPr>
              <w:t>Data Operations &amp; ETL</w:t>
            </w:r>
          </w:p>
        </w:tc>
        <w:tc>
          <w:tcPr>
            <w:tcW w:type="dxa" w:w="4680"/>
            <w:shd w:fill="FFFFFF"/>
            <w:tcMar>
              <w:top w:w="60" w:type="dxa"/>
              <w:bottom w:w="60" w:type="dxa"/>
              <w:left w:w="100" w:type="dxa"/>
              <w:right w:w="100" w:type="dxa"/>
            </w:tcMar>
          </w:tcPr>
          <w:p>
            <w:r>
              <w:rPr>
                <w:sz w:val="18"/>
              </w:rPr>
              <w:t>CSV &amp; JSON dataset parser, validator, and factory reset engine (POST /api/upload, POST /api/reset)</w:t>
            </w:r>
          </w:p>
        </w:tc>
      </w:tr>
      <w:tr>
        <w:tc>
          <w:tcPr>
            <w:tcW w:type="dxa" w:w="4680"/>
          </w:tcPr>
          <w:p/>
        </w:tc>
        <w:tc>
          <w:tcPr>
            <w:tcW w:type="dxa" w:w="4680"/>
          </w:tcPr>
          <w:p/>
        </w:tc>
      </w:tr>
    </w:tbl>
    <w:p>
      <w:pPr>
        <w:spacing w:after="160"/>
      </w:pPr>
    </w:p>
    <w:p>
      <w:pPr>
        <w:pStyle w:val="Heading1"/>
        <w:spacing w:before="320" w:after="120"/>
      </w:pPr>
      <w:r>
        <w:rPr>
          <w:b/>
          <w:color w:val="0F2C59"/>
          <w:sz w:val="32"/>
        </w:rPr>
        <w:t>7. Project Impact &amp; Institutional Value</w:t>
      </w:r>
    </w:p>
    <w:p>
      <w:pPr>
        <w:spacing w:after="280"/>
      </w:pPr>
      <w:r>
        <w:t>CampusIQ transforms campus retention from a retrospective review into a predictive, proactive operational workflow. By establishing an objective 7-vector baseline, instituting air-gapped student privacy, and automating the friction-heavy task of intervention notices, institutions can significantly reduce academic attrition, improve accreditation scores, and ensure timely student graduation.</w:t>
      </w:r>
    </w:p>
    <w:p>
      <w:pPr>
        <w:jc w:val="center"/>
      </w:pPr>
      <w:r>
        <w:rPr>
          <w:i/>
          <w:color w:val="787878"/>
          <w:sz w:val="18"/>
        </w:rPr>
        <w:t>— End of Institutional Project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