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026"/>
        <w:spacing w:after="0"/>
        <w:tabs>
          <w:tab w:val="clear" w:pos="4513"/>
          <w:tab w:val="clear" w:pos="4680"/>
          <w:tab w:val="clear" w:pos="9026"/>
          <w:tab w:val="clear" w:pos="9360"/>
          <w:tab w:val="right" w:pos="9216"/>
        </w:tabs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kmonk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446190" cy="530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j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90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2026"/>
        <w:spacing w:before="0" w:after="0" w:line="2160" w:lineRule="exact"/>
      </w:pPr>
    </w:p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3429000" cy="1678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78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2026"/>
        <w:spacing w:before="280" w:after="320" w:line="40" w:lineRule="exact"/>
        <w:pBdr>
          <w:bottom w:val="single" w:sz="16" w:space="1" w:color="0E7C78"/>
        </w:pBdr>
        <w:ind w:left="3528" w:right="3528"/>
      </w:pPr>
      <w:r>
        <w:rPr>
          <w:sz w:val="4"/>
        </w:rPr>
      </w:r>
    </w:p>
    <w:p>
      <w:pPr>
        <w:pStyle w:val="CoverTitle"/>
      </w:pPr>
      <w:r>
        <w:t>Client Handover Manual</w:t>
      </w:r>
    </w:p>
    <w:p>
      <w:pPr>
        <w:pStyle w:val="CoverSubtitle"/>
        <w:spacing w:before="200"/>
      </w:pPr>
      <w:r>
        <w:rPr>
          <w:b/>
          <w:color w:val="1D3E63"/>
        </w:rPr>
        <w:t>Part I</w:t>
      </w:r>
      <w:r>
        <w:t xml:space="preserve">   Deployment &amp; Installation Guide</w:t>
      </w:r>
    </w:p>
    <w:p>
      <w:pPr>
        <w:pStyle w:val="CoverSubtitle"/>
      </w:pPr>
      <w:r>
        <w:rPr>
          <w:b/>
          <w:color w:val="1D3E63"/>
        </w:rPr>
        <w:t>Part II</w:t>
      </w:r>
      <w:r>
        <w:t xml:space="preserve">   Administrator &amp; Operations Manual</w:t>
      </w:r>
    </w:p>
    <w:p>
      <w:pPr>
        <w:pStyle w:val="BodyText2026"/>
        <w:spacing w:before="0" w:after="0" w:line="3000" w:lineRule="exact"/>
      </w:pPr>
    </w:p>
    <w:p>
      <w:pPr>
        <w:pStyle w:val="BodyText2026"/>
        <w:spacing w:before="0" w:after="120" w:line="40" w:lineRule="exact"/>
        <w:pBdr>
          <w:bottom w:val="single" w:sz="4" w:space="1" w:color="D7DDE4"/>
        </w:pBdr>
      </w:pPr>
      <w:r>
        <w:rPr>
          <w:sz w:val="4"/>
        </w:rPr>
      </w:r>
    </w:p>
    <w:p>
      <w:pPr>
        <w:pStyle w:val="CoverSubtitle"/>
      </w:pPr>
      <w:r>
        <w:rPr>
          <w:b/>
          <w:color w:val="0A2647"/>
          <w:sz w:val="18"/>
          <w:spacing w:val="30"/>
        </w:rPr>
        <w:t>Tekmonks</w:t>
      </w:r>
    </w:p>
    <w:p>
      <w:pPr>
        <w:sectPr>
          <w:headerReference w:type="default" r:id="rId12"/>
          <w:footerReference w:type="default" r:id="rId13"/>
          <w:headerReference w:type="even" r:id="rId14"/>
          <w:footerReference w:type="even" r:id="rId15"/>
          <w:headerReference w:type="first" r:id="rId16"/>
          <w:footerReference w:type="first" r:id="rId17"/>
          <w:pgSz w:w="12240" w:h="15840"/>
          <w:pgMar w:top="1368" w:right="1512" w:bottom="1224" w:left="1512" w:header="720" w:footer="648" w:gutter="0"/>
          <w:cols w:space="720"/>
          <w:docGrid w:linePitch="360"/>
        </w:sectPr>
      </w:pPr>
    </w:p>
    <w:p>
      <w:pPr>
        <w:pStyle w:val="ContentsHead"/>
      </w:pPr>
      <w:r>
        <w:t>Contents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00001" w:history="1">
        <w:r>
          <w:rPr>
            <w:color w:val="0A2647"/>
          </w:rPr>
          <w:t>Deployment &amp; Installation Guide</w:t>
        </w:r>
        <w:r>
          <w:tab/>
        </w:r>
        <w:r>
          <w:rPr>
            <w:b/>
            <w:color w:val="0A2647"/>
          </w:rPr>
          <w:t>3</w:t>
        </w:r>
      </w:hyperlink>
    </w:p>
    <w:p>
      <w:pPr>
        <w:pStyle w:val="TOC2"/>
      </w:pPr>
      <w:hyperlink w:anchor="_Toc900002" w:history="1">
        <w:r>
          <w:rPr>
            <w:color w:val="22282F"/>
          </w:rPr>
          <w:t>1  What Reflection does</w:t>
        </w:r>
        <w:r>
          <w:tab/>
        </w:r>
        <w:r>
          <w:rPr>
            <w:color w:val="0A2647"/>
          </w:rPr>
          <w:t>4</w:t>
        </w:r>
      </w:hyperlink>
    </w:p>
    <w:p>
      <w:pPr>
        <w:pStyle w:val="TOC2"/>
      </w:pPr>
      <w:hyperlink w:anchor="_Toc900003" w:history="1">
        <w:r>
          <w:rPr>
            <w:color w:val="22282F"/>
          </w:rPr>
          <w:t>2  Components and where they run</w:t>
        </w:r>
        <w:r>
          <w:tab/>
        </w:r>
        <w:r>
          <w:rPr>
            <w:color w:val="0A2647"/>
          </w:rPr>
          <w:t>4</w:t>
        </w:r>
      </w:hyperlink>
    </w:p>
    <w:p>
      <w:pPr>
        <w:pStyle w:val="TOC2"/>
      </w:pPr>
      <w:hyperlink w:anchor="_Toc900004" w:history="1">
        <w:r>
          <w:rPr>
            <w:color w:val="22282F"/>
          </w:rPr>
          <w:t>3  Requirements</w:t>
        </w:r>
        <w:r>
          <w:tab/>
        </w:r>
        <w:r>
          <w:rPr>
            <w:color w:val="0A2647"/>
          </w:rPr>
          <w:t>4</w:t>
        </w:r>
      </w:hyperlink>
    </w:p>
    <w:p>
      <w:pPr>
        <w:pStyle w:val="TOC2"/>
      </w:pPr>
      <w:hyperlink w:anchor="_Toc900005" w:history="1">
        <w:r>
          <w:rPr>
            <w:color w:val="22282F"/>
          </w:rPr>
          <w:t>4  Before installation: choose ports and firewall rules</w:t>
        </w:r>
        <w:r>
          <w:tab/>
        </w:r>
        <w:r>
          <w:rPr>
            <w:color w:val="0A2647"/>
          </w:rPr>
          <w:t>5</w:t>
        </w:r>
      </w:hyperlink>
    </w:p>
    <w:p>
      <w:pPr>
        <w:pStyle w:val="TOC2"/>
      </w:pPr>
      <w:hyperlink w:anchor="_Toc900006" w:history="1">
        <w:r>
          <w:rPr>
            <w:color w:val="22282F"/>
          </w:rPr>
          <w:t>5  Installation</w:t>
        </w:r>
        <w:r>
          <w:tab/>
        </w:r>
        <w:r>
          <w:rPr>
            <w:color w:val="0A2647"/>
          </w:rPr>
          <w:t>5</w:t>
        </w:r>
      </w:hyperlink>
    </w:p>
    <w:p>
      <w:pPr>
        <w:pStyle w:val="TOC2"/>
      </w:pPr>
      <w:hyperlink w:anchor="_Toc900007" w:history="1">
        <w:r>
          <w:rPr>
            <w:color w:val="22282F"/>
          </w:rPr>
          <w:t>6  Secure the configuration first</w:t>
        </w:r>
        <w:r>
          <w:tab/>
        </w:r>
        <w:r>
          <w:rPr>
            <w:color w:val="0A2647"/>
          </w:rPr>
          <w:t>5</w:t>
        </w:r>
      </w:hyperlink>
    </w:p>
    <w:p>
      <w:pPr>
        <w:pStyle w:val="TOC2"/>
      </w:pPr>
      <w:hyperlink w:anchor="_Toc900008" w:history="1">
        <w:r>
          <w:rPr>
            <w:color w:val="22282F"/>
          </w:rPr>
          <w:t>7  Configure a standard TCP relay</w:t>
        </w:r>
        <w:r>
          <w:tab/>
        </w:r>
        <w:r>
          <w:rPr>
            <w:color w:val="0A2647"/>
          </w:rPr>
          <w:t>6</w:t>
        </w:r>
      </w:hyperlink>
    </w:p>
    <w:p>
      <w:pPr>
        <w:pStyle w:val="TOC3"/>
      </w:pPr>
      <w:hyperlink w:anchor="_Toc900009" w:history="1">
        <w:r>
          <w:rPr>
            <w:color w:val="5C6672"/>
          </w:rPr>
          <w:t>7.1  Mirror host: conf/mirror.json</w:t>
        </w:r>
        <w:r>
          <w:tab/>
        </w:r>
        <w:r>
          <w:rPr>
            <w:color w:val="5C6672"/>
          </w:rPr>
          <w:t>6</w:t>
        </w:r>
      </w:hyperlink>
    </w:p>
    <w:p>
      <w:pPr>
        <w:pStyle w:val="TOC3"/>
      </w:pPr>
      <w:hyperlink w:anchor="_Toc900010" w:history="1">
        <w:r>
          <w:rPr>
            <w:color w:val="5C6672"/>
          </w:rPr>
          <w:t>7.2  Reflector host: conf/reflect.json</w:t>
        </w:r>
        <w:r>
          <w:tab/>
        </w:r>
        <w:r>
          <w:rPr>
            <w:color w:val="5C6672"/>
          </w:rPr>
          <w:t>6</w:t>
        </w:r>
      </w:hyperlink>
    </w:p>
    <w:p>
      <w:pPr>
        <w:pStyle w:val="TOC3"/>
      </w:pPr>
      <w:hyperlink w:anchor="_Toc900011" w:history="1">
        <w:r>
          <w:rPr>
            <w:color w:val="5C6672"/>
          </w:rPr>
          <w:t>7.3  Start order and test</w:t>
        </w:r>
        <w:r>
          <w:tab/>
        </w:r>
        <w:r>
          <w:rPr>
            <w:color w:val="5C6672"/>
          </w:rPr>
          <w:t>7</w:t>
        </w:r>
      </w:hyperlink>
    </w:p>
    <w:p>
      <w:pPr>
        <w:pStyle w:val="TOC2"/>
      </w:pPr>
      <w:hyperlink w:anchor="_Toc900012" w:history="1">
        <w:r>
          <w:rPr>
            <w:color w:val="22282F"/>
          </w:rPr>
          <w:t>8  TCP, UDP, and multi-service launch commands</w:t>
        </w:r>
        <w:r>
          <w:tab/>
        </w:r>
        <w:r>
          <w:rPr>
            <w:color w:val="0A2647"/>
          </w:rPr>
          <w:t>7</w:t>
        </w:r>
      </w:hyperlink>
    </w:p>
    <w:p>
      <w:pPr>
        <w:pStyle w:val="TOC3"/>
      </w:pPr>
      <w:hyperlink w:anchor="_Toc900013" w:history="1">
        <w:r>
          <w:rPr>
            <w:color w:val="5C6672"/>
          </w:rPr>
          <w:t>8.1  Multiple TCP mappings</w:t>
        </w:r>
        <w:r>
          <w:tab/>
        </w:r>
        <w:r>
          <w:rPr>
            <w:color w:val="5C6672"/>
          </w:rPr>
          <w:t>7</w:t>
        </w:r>
      </w:hyperlink>
    </w:p>
    <w:p>
      <w:pPr>
        <w:pStyle w:val="TOC1"/>
      </w:pPr>
      <w:hyperlink w:anchor="_Toc900014" w:history="1">
        <w:r>
          <w:rPr>
            <w:color w:val="0A2647"/>
          </w:rPr>
          <w:t>Administrator &amp; Operations Manual</w:t>
        </w:r>
        <w:r>
          <w:tab/>
        </w:r>
        <w:r>
          <w:rPr>
            <w:b/>
            <w:color w:val="0A2647"/>
          </w:rPr>
          <w:t>9</w:t>
        </w:r>
      </w:hyperlink>
    </w:p>
    <w:p>
      <w:pPr>
        <w:pStyle w:val="TOC2"/>
      </w:pPr>
      <w:hyperlink w:anchor="_Toc900015" w:history="1">
        <w:r>
          <w:rPr>
            <w:color w:val="22282F"/>
          </w:rPr>
          <w:t>9  Configuration reference</w:t>
        </w:r>
        <w:r>
          <w:tab/>
        </w:r>
        <w:r>
          <w:rPr>
            <w:color w:val="0A2647"/>
          </w:rPr>
          <w:t>10</w:t>
        </w:r>
      </w:hyperlink>
    </w:p>
    <w:p>
      <w:pPr>
        <w:pStyle w:val="TOC3"/>
      </w:pPr>
      <w:hyperlink w:anchor="_Toc900016" w:history="1">
        <w:r>
          <w:rPr>
            <w:color w:val="5C6672"/>
          </w:rPr>
          <w:t>9.1  conf/reflect.json</w:t>
        </w:r>
        <w:r>
          <w:tab/>
        </w:r>
        <w:r>
          <w:rPr>
            <w:color w:val="5C6672"/>
          </w:rPr>
          <w:t>10</w:t>
        </w:r>
      </w:hyperlink>
    </w:p>
    <w:p>
      <w:pPr>
        <w:pStyle w:val="TOC3"/>
      </w:pPr>
      <w:hyperlink w:anchor="_Toc900017" w:history="1">
        <w:r>
          <w:rPr>
            <w:color w:val="5C6672"/>
          </w:rPr>
          <w:t>9.2  conf/mirror.json</w:t>
        </w:r>
        <w:r>
          <w:tab/>
        </w:r>
        <w:r>
          <w:rPr>
            <w:color w:val="5C6672"/>
          </w:rPr>
          <w:t>11</w:t>
        </w:r>
      </w:hyperlink>
    </w:p>
    <w:p>
      <w:pPr>
        <w:pStyle w:val="TOC3"/>
      </w:pPr>
      <w:hyperlink w:anchor="_Toc900018" w:history="1">
        <w:r>
          <w:rPr>
            <w:color w:val="5C6672"/>
          </w:rPr>
          <w:t>9.3  Worker and logging configuration</w:t>
        </w:r>
        <w:r>
          <w:tab/>
        </w:r>
        <w:r>
          <w:rPr>
            <w:color w:val="5C6672"/>
          </w:rPr>
          <w:t>11</w:t>
        </w:r>
      </w:hyperlink>
    </w:p>
    <w:p>
      <w:pPr>
        <w:pStyle w:val="TOC2"/>
      </w:pPr>
      <w:hyperlink w:anchor="_Toc900019" w:history="1">
        <w:r>
          <w:rPr>
            <w:color w:val="22282F"/>
          </w:rPr>
          <w:t>10  Optional extensions and data handling</w:t>
        </w:r>
        <w:r>
          <w:tab/>
        </w:r>
        <w:r>
          <w:rPr>
            <w:color w:val="0A2647"/>
          </w:rPr>
          <w:t>11</w:t>
        </w:r>
      </w:hyperlink>
    </w:p>
    <w:p>
      <w:pPr>
        <w:pStyle w:val="TOC2"/>
      </w:pPr>
      <w:hyperlink w:anchor="_Toc900020" w:history="1">
        <w:r>
          <w:rPr>
            <w:color w:val="22282F"/>
          </w:rPr>
          <w:t>11  Optional firewall control</w:t>
        </w:r>
        <w:r>
          <w:tab/>
        </w:r>
        <w:r>
          <w:rPr>
            <w:color w:val="0A2647"/>
          </w:rPr>
          <w:t>12</w:t>
        </w:r>
      </w:hyperlink>
    </w:p>
    <w:p>
      <w:pPr>
        <w:pStyle w:val="TOC3"/>
      </w:pPr>
      <w:hyperlink w:anchor="_Toc900021" w:history="1">
        <w:r>
          <w:rPr>
            <w:color w:val="5C6672"/>
          </w:rPr>
          <w:t>11.1  Firewall administration commands</w:t>
        </w:r>
        <w:r>
          <w:tab/>
        </w:r>
        <w:r>
          <w:rPr>
            <w:color w:val="5C6672"/>
          </w:rPr>
          <w:t>12</w:t>
        </w:r>
      </w:hyperlink>
    </w:p>
    <w:p>
      <w:pPr>
        <w:pStyle w:val="TOC3"/>
      </w:pPr>
      <w:hyperlink w:anchor="_Toc900022" w:history="1">
        <w:r>
          <w:rPr>
            <w:color w:val="5C6672"/>
          </w:rPr>
          <w:t>11.2  Geolocation firewall rules</w:t>
        </w:r>
        <w:r>
          <w:tab/>
        </w:r>
        <w:r>
          <w:rPr>
            <w:color w:val="5C6672"/>
          </w:rPr>
          <w:t>13</w:t>
        </w:r>
      </w:hyperlink>
    </w:p>
    <w:p>
      <w:pPr>
        <w:pStyle w:val="TOC2"/>
      </w:pPr>
      <w:hyperlink w:anchor="_Toc900023" w:history="1">
        <w:r>
          <w:rPr>
            <w:color w:val="22282F"/>
          </w:rPr>
          <w:t>12  Production service management</w:t>
        </w:r>
        <w:r>
          <w:tab/>
        </w:r>
        <w:r>
          <w:rPr>
            <w:color w:val="0A2647"/>
          </w:rPr>
          <w:t>14</w:t>
        </w:r>
      </w:hyperlink>
    </w:p>
    <w:p>
      <w:pPr>
        <w:pStyle w:val="TOC2"/>
      </w:pPr>
      <w:hyperlink w:anchor="_Toc900024" w:history="1">
        <w:r>
          <w:rPr>
            <w:color w:val="22282F"/>
          </w:rPr>
          <w:t>13  Operation and validation checklist</w:t>
        </w:r>
        <w:r>
          <w:tab/>
        </w:r>
        <w:r>
          <w:rPr>
            <w:color w:val="0A2647"/>
          </w:rPr>
          <w:t>14</w:t>
        </w:r>
      </w:hyperlink>
    </w:p>
    <w:p>
      <w:pPr>
        <w:pStyle w:val="TOC2"/>
      </w:pPr>
      <w:hyperlink w:anchor="_Toc900025" w:history="1">
        <w:r>
          <w:rPr>
            <w:color w:val="22282F"/>
          </w:rPr>
          <w:t>14  Troubleshooting</w:t>
        </w:r>
        <w:r>
          <w:tab/>
        </w:r>
        <w:r>
          <w:rPr>
            <w:color w:val="0A2647"/>
          </w:rPr>
          <w:t>15</w:t>
        </w:r>
      </w:hyperlink>
      <w:r>
        <w:fldChar w:fldCharType="end"/>
      </w:r>
    </w:p>
    <w:p>
      <w:pPr>
        <w:sectPr>
          <w:headerReference w:type="default" r:id="rId18"/>
          <w:footerReference w:type="default" r:id="rId19"/>
          <w:pgSz w:w="12240" w:h="15840"/>
          <w:pgMar w:top="1368" w:right="1512" w:bottom="1224" w:left="1512" w:header="720" w:footer="648" w:gutter="0"/>
          <w:cols w:space="720"/>
          <w:docGrid w:linePitch="360"/>
        </w:sectPr>
      </w:pPr>
    </w:p>
    <w:p>
      <w:pPr>
        <w:pStyle w:val="BodyText2026"/>
        <w:spacing w:before="0" w:after="0" w:line="2600" w:lineRule="exact"/>
      </w:pPr>
    </w:p>
    <w:p>
      <w:pPr>
        <w:pStyle w:val="PartLabel"/>
      </w:pPr>
      <w:r>
        <w:t>Part I</w:t>
      </w:r>
    </w:p>
    <w:p>
      <w:bookmarkStart w:id="1001" w:name="_Toc900001"/>
      <w:pPr>
        <w:pStyle w:val="Heading1"/>
      </w:pPr>
      <w:r>
        <w:t>Deployment &amp; Installation Guide</w:t>
      </w:r>
      <w:bookmarkEnd w:id="1001"/>
    </w:p>
    <w:p>
      <w:pPr>
        <w:pStyle w:val="BodyText2026"/>
        <w:spacing w:before="200" w:after="440" w:line="40" w:lineRule="exact"/>
        <w:pBdr>
          <w:bottom w:val="single" w:sz="16" w:space="1" w:color="0E7C78"/>
        </w:pBdr>
        <w:ind w:left="3600" w:right="3600"/>
      </w:pPr>
      <w:r>
        <w:rPr>
          <w:sz w:val="4"/>
        </w:rPr>
      </w:r>
    </w:p>
    <w:p>
      <w:pPr>
        <w:pStyle w:val="PartLabel"/>
        <w:spacing w:before="120" w:after="160"/>
      </w:pPr>
      <w:r>
        <w:rPr>
          <w:color w:val="5C6672"/>
          <w:sz w:val="17"/>
          <w:spacing w:val="34"/>
        </w:rPr>
        <w:t>In this part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1  </w:t>
      </w:r>
      <w:r>
        <w:t xml:space="preserve"> What Reflection does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2  </w:t>
      </w:r>
      <w:r>
        <w:t xml:space="preserve"> Components and where they run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3  </w:t>
      </w:r>
      <w:r>
        <w:t xml:space="preserve"> Requirements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4  </w:t>
      </w:r>
      <w:r>
        <w:t xml:space="preserve"> Before installation: choose ports and firewall rules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5  </w:t>
      </w:r>
      <w:r>
        <w:t xml:space="preserve"> Installation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6  </w:t>
      </w:r>
      <w:r>
        <w:t xml:space="preserve"> Secure the configuration first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7  </w:t>
      </w:r>
      <w:r>
        <w:t xml:space="preserve"> Configure a standard TCP relay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8  </w:t>
      </w:r>
      <w:r>
        <w:t xml:space="preserve"> TCP, UDP, and multi-service launch commands</w:t>
      </w:r>
    </w:p>
    <w:p>
      <w:pPr>
        <w:sectPr>
          <w:headerReference w:type="default" r:id="rId20"/>
          <w:footerReference w:type="default" r:id="rId21"/>
          <w:headerReference w:type="even" r:id="rId22"/>
          <w:footerReference w:type="even" r:id="rId23"/>
          <w:headerReference w:type="first" r:id="rId24"/>
          <w:footerReference w:type="first" r:id="rId25"/>
          <w:pgSz w:w="12240" w:h="15840"/>
          <w:pgMar w:top="1368" w:right="1512" w:bottom="1224" w:left="1512" w:header="720" w:footer="648" w:gutter="0"/>
          <w:cols w:space="720"/>
          <w:docGrid w:linePitch="360"/>
        </w:sectPr>
      </w:pPr>
    </w:p>
    <w:p>
      <w:bookmarkStart w:id="1002" w:name="_Toc900002"/>
      <w:pPr>
        <w:pStyle w:val="Heading2"/>
        <w:pBdr>
          <w:top w:val="nil"/>
        </w:pBdr>
        <w:spacing w:before="40"/>
      </w:pPr>
      <w:r>
        <w:t>1  What Reflection does</w:t>
      </w:r>
      <w:bookmarkEnd w:id="1002"/>
    </w:p>
    <w:p>
      <w:pPr>
        <w:pStyle w:val="BodyText2026"/>
      </w:pPr>
      <w:r>
        <w:t>Reflection publishes a TCP or UDP service that is reachable from a public mirror server, while the real service stays on a private reflector server. A reflector creates encrypted control/data channels to the mirror. When a client connects to the published mirror port, Reflection assigns one channel and connects to the configured origin service.</w:t>
      </w:r>
    </w:p>
    <w:p>
      <w:pPr>
        <w:pStyle w:val="FlowDiagram"/>
      </w:pPr>
      <w:r>
        <w:t>Client → public mirror:published port → encrypted Reflection channel → reflector → private origin service</w:t>
      </w:r>
    </w:p>
    <w:p>
      <w:pPr>
        <w:pStyle w:val="CaptionBelow"/>
      </w:pPr>
      <w:r>
        <w:rPr>
          <w:rStyle w:val="CaptionLabel"/>
        </w:rPr>
        <w:t xml:space="preserve">Figure 1. </w:t>
      </w:r>
      <w:r>
        <w:t>Connection path from a client to the private origin service.</w:t>
      </w:r>
    </w:p>
    <w:p>
      <w:pPr>
        <w:pStyle w:val="BodyText2026"/>
      </w:pPr>
      <w:r>
        <w:t>This is a transport-layer relay. It does not understand HTTP, TLS, databases, or application protocols; it forwards TCP streams or UDP datagrams. Use it only where a reverse TCP/UDP relay is the intended architecture.</w:t>
      </w:r>
    </w:p>
    <w:p>
      <w:bookmarkStart w:id="1003" w:name="_Toc900003"/>
      <w:pPr>
        <w:pStyle w:val="Heading2"/>
      </w:pPr>
      <w:r>
        <w:t>2  Components and where they run</w:t>
      </w:r>
      <w:bookmarkEnd w:id="1003"/>
    </w:p>
    <w:p>
      <w:pPr>
        <w:pStyle w:val="Caption"/>
      </w:pPr>
      <w:r>
        <w:rPr>
          <w:rStyle w:val="CaptionLabel"/>
        </w:rPr>
        <w:t xml:space="preserve">Table 1. </w:t>
      </w:r>
      <w:r>
        <w:t>Reflection components and where they run.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1872"/>
        <w:gridCol w:w="2520"/>
        <w:gridCol w:w="4824"/>
      </w:tblGrid>
      <w:tr>
        <w:tc>
          <w:tcPr>
            <w:tcW w:type="dxa" w:w="1872"/>
            <w:tcW w:w="1872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Component</w:t>
            </w:r>
          </w:p>
        </w:tc>
        <w:tc>
          <w:tcPr>
            <w:tcW w:type="dxa" w:w="2520"/>
            <w:tcW w:w="2520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Run on</w:t>
            </w:r>
          </w:p>
        </w:tc>
        <w:tc>
          <w:tcPr>
            <w:tcW w:type="dxa" w:w="4824"/>
            <w:tcW w:w="482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Purpose</w:t>
            </w:r>
          </w:p>
        </w:tc>
        <w:trPr>
          <w:cantSplit/>
          <w:tblHeader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Term"/>
            </w:pPr>
            <w:r>
              <w:t>Mirror</w:t>
            </w:r>
          </w:p>
        </w:tc>
        <w:tc>
          <w:tcPr>
            <w:tcW w:type="dxa" w:w="2520"/>
            <w:tcW w:w="2520" w:type="dxa"/>
            <w:vAlign w:val="center"/>
          </w:tcPr>
          <w:p>
            <w:pPr>
              <w:pStyle w:val="TableText"/>
            </w:pPr>
            <w:r>
              <w:t>Public/reachable host</w:t>
            </w:r>
          </w:p>
        </w:tc>
        <w:tc>
          <w:tcPr>
            <w:tcW w:type="dxa" w:w="4824"/>
            <w:tcW w:w="4824" w:type="dxa"/>
            <w:vAlign w:val="center"/>
          </w:tcPr>
          <w:p>
            <w:pPr>
              <w:pStyle w:val="TableText"/>
            </w:pPr>
            <w:r>
              <w:t>Receives reflector control/data channels and opens the client-facing listener on demand.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Reflector</w:t>
            </w:r>
          </w:p>
        </w:tc>
        <w:tc>
          <w:tcPr>
            <w:tcW w:type="dxa" w:w="2520"/>
            <w:tcW w:w="252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Network that can reach the origin</w:t>
            </w:r>
          </w:p>
        </w:tc>
        <w:tc>
          <w:tcPr>
            <w:tcW w:type="dxa" w:w="4824"/>
            <w:tcW w:w="4824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Connects to the mirror, maintains a TCP channel pool, and opens connections to the origin.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Term"/>
            </w:pPr>
            <w:r>
              <w:t>Origin service</w:t>
            </w:r>
          </w:p>
        </w:tc>
        <w:tc>
          <w:tcPr>
            <w:tcW w:type="dxa" w:w="2520"/>
            <w:tcW w:w="2520" w:type="dxa"/>
            <w:vAlign w:val="center"/>
          </w:tcPr>
          <w:p>
            <w:pPr>
              <w:pStyle w:val="TableText"/>
            </w:pPr>
            <w:r>
              <w:t>Usually private</w:t>
            </w:r>
          </w:p>
        </w:tc>
        <w:tc>
          <w:tcPr>
            <w:tcW w:type="dxa" w:w="4824"/>
            <w:tcW w:w="4824" w:type="dxa"/>
            <w:vAlign w:val="center"/>
          </w:tcPr>
          <w:p>
            <w:pPr>
              <w:pStyle w:val="TableText"/>
            </w:pPr>
            <w:r>
              <w:t>The existing TCP/UDP service being made reachable. It is not part of this repository.</w:t>
            </w:r>
          </w:p>
        </w:tc>
        <w:trPr>
          <w:cantSplit/>
        </w:trPr>
      </w:tr>
    </w:tbl>
    <w:p>
      <w:pPr>
        <w:pStyle w:val="BodyText2026"/>
        <w:spacing w:after="0" w:line="160" w:lineRule="exact"/>
      </w:pPr>
    </w:p>
    <w:p>
      <w:bookmarkStart w:id="1004" w:name="_Toc900004"/>
      <w:pPr>
        <w:pStyle w:val="Heading2"/>
      </w:pPr>
      <w:r>
        <w:t>3  Requirements</w:t>
      </w:r>
      <w:bookmarkEnd w:id="1004"/>
    </w:p>
    <w:p>
      <w:pPr>
        <w:numPr>
          <w:ilvl w:val="0"/>
          <w:numId w:val="700"/>
        </w:numPr>
        <w:pStyle w:val="BodyText2026"/>
        <w:spacing w:after="80" w:before="20"/>
      </w:pPr>
      <w:r>
        <w:t xml:space="preserve">Node.js with the built-in </w:t>
      </w:r>
      <w:r>
        <w:rPr>
          <w:rStyle w:val="CodeInline"/>
        </w:rPr>
        <w:t>net</w:t>
      </w:r>
      <w:r>
        <w:t xml:space="preserve">, </w:t>
      </w:r>
      <w:r>
        <w:rPr>
          <w:rStyle w:val="CodeInline"/>
        </w:rPr>
        <w:t>dgram</w:t>
      </w:r>
      <w:r>
        <w:t xml:space="preserve">, </w:t>
      </w:r>
      <w:r>
        <w:rPr>
          <w:rStyle w:val="CodeInline"/>
        </w:rPr>
        <w:t>crypto</w:t>
      </w:r>
      <w:r>
        <w:t xml:space="preserve">, </w:t>
      </w:r>
      <w:r>
        <w:rPr>
          <w:rStyle w:val="CodeInline"/>
        </w:rPr>
        <w:t>cluster</w:t>
      </w:r>
      <w:r>
        <w:t xml:space="preserve">, and filesystem modules. The repository has no </w:t>
      </w:r>
      <w:r>
        <w:rPr>
          <w:rStyle w:val="CodeInline"/>
        </w:rPr>
        <w:t>package.json</w:t>
      </w:r>
      <w:r>
        <w:t xml:space="preserve"> and no third-party Node dependency install step.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>Two hosts with network connectivity from reflector to mirror control/data ports.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>An origin service reachable from the reflector on the configured host and port.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>Permission to listen on the selected ports. Use ports above 1024 unless the service account has the required capability.</w:t>
      </w:r>
    </w:p>
    <w:p>
      <w:pPr>
        <w:numPr>
          <w:ilvl w:val="0"/>
          <w:numId w:val="700"/>
        </w:numPr>
        <w:pStyle w:val="BodyText2026"/>
        <w:spacing w:after="80" w:before="20"/>
      </w:pPr>
      <w:r>
        <w:t xml:space="preserve">The mirror and reflector must use the same </w:t>
      </w:r>
      <w:r>
        <w:rPr>
          <w:rStyle w:val="CodeInline"/>
        </w:rPr>
        <w:t>conf/crypt.json</w:t>
      </w:r>
      <w:r>
        <w:t xml:space="preserve"> values. Control traffic and TCP relay control messages use the shared key; the optional AES extension has its own </w:t>
      </w:r>
      <w:r>
        <w:rPr>
          <w:rStyle w:val="CodeInline"/>
        </w:rPr>
        <w:t>conf/aes.json</w:t>
      </w:r>
      <w:r>
        <w:t xml:space="preserve"> secret.</w:t>
      </w:r>
    </w:p>
    <w:p>
      <w:pPr>
        <w:pStyle w:val="Lead-in"/>
      </w:pPr>
      <w:r>
        <w:t>Check Node before deployment:</w:t>
      </w:r>
    </w:p>
    <w:p>
      <w:pPr>
        <w:pStyle w:val="CodeBlock"/>
      </w:pPr>
      <w:r>
        <w:t>node --version</w:t>
      </w:r>
      <w:r>
        <w:br/>
      </w:r>
      <w:r>
        <w:t>node -e "require('net'); require('dgram'); require('crypto'); console.log('Node runtime OK')"</w:t>
      </w:r>
    </w:p>
    <w:p>
      <w:bookmarkStart w:id="1005" w:name="_Toc900005"/>
      <w:pPr>
        <w:pStyle w:val="Heading2"/>
      </w:pPr>
      <w:r>
        <w:t>4  Before installation: choose ports and firewall rules</w:t>
      </w:r>
      <w:bookmarkEnd w:id="1005"/>
    </w:p>
    <w:p>
      <w:pPr>
        <w:pStyle w:val="BodyText2026"/>
      </w:pPr>
      <w:r>
        <w:t>Choose non-conflicting ports. Do not expose the control, heartbeat, or firewall-control ports to the Internet. Restrict them to reflector/admin addresses. The published service port is the only port normally open to clients.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B77400"/>
          <w:left w:val="single" w:sz="30" w:space="0" w:color="B77400"/>
          <w:bottom w:val="single" w:sz="4" w:space="0" w:color="B77400"/>
          <w:right w:val="single" w:sz="4" w:space="0" w:color="B77400"/>
        </w:tblBorders>
      </w:tblPr>
      <w:tblGrid>
        <w:gridCol w:w="9216"/>
      </w:tblGrid>
      <w:tr>
        <w:tc>
          <w:tcPr>
            <w:tcW w:type="dxa" w:w="9216"/>
            <w:shd w:val="clear" w:color="auto" w:fill="FFF6E8"/>
            <w:tcW w:w="5000" w:type="pct"/>
          </w:tcPr>
          <w:p>
            <w:pPr>
              <w:pStyle w:val="CalloutLabel"/>
            </w:pPr>
            <w:r>
              <w:rPr>
                <w:color w:val="7A4E00"/>
              </w:rPr>
              <w:t>IMPORTANT  ·  UDP</w:t>
            </w:r>
          </w:p>
          <w:p>
            <w:pPr>
              <w:pStyle w:val="CalloutBody"/>
            </w:pPr>
            <w:r>
              <w:t xml:space="preserve">The implementation starts its heartbeat server with Node’s TCP </w:t>
            </w:r>
            <w:r>
              <w:rPr>
                <w:rStyle w:val="CodeInline"/>
              </w:rPr>
              <w:t>net</w:t>
            </w:r>
            <w:r>
              <w:t xml:space="preserve"> API even for the UDP mode. Keep the heartbeat port reachable over TCP until a future release.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bookmarkStart w:id="1006" w:name="_Toc900006"/>
      <w:pPr>
        <w:pStyle w:val="Heading2"/>
      </w:pPr>
      <w:r>
        <w:t>5  Installation</w:t>
      </w:r>
      <w:bookmarkEnd w:id="1006"/>
    </w:p>
    <w:p>
      <w:pPr>
        <w:pStyle w:val="Lead-in"/>
      </w:pPr>
      <w:r>
        <w:t>Perform these steps on both hosts.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 xml:space="preserve">Copy the complete reflection directory to a stable location, for example </w:t>
      </w:r>
      <w:r>
        <w:rPr>
          <w:rStyle w:val="CodeInline"/>
        </w:rPr>
        <w:t>/opt/reflection</w:t>
      </w:r>
      <w:r>
        <w:t>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>Create a non-login service account, for example reflection.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 xml:space="preserve">Give that account ownership of the installation and ensure it can create </w:t>
      </w:r>
      <w:r>
        <w:rPr>
          <w:rStyle w:val="CodeInline"/>
        </w:rPr>
        <w:t>/opt/reflection/logs</w:t>
      </w:r>
      <w:r>
        <w:t>.</w:t>
      </w:r>
    </w:p>
    <w:p>
      <w:pPr>
        <w:numPr>
          <w:ilvl w:val="0"/>
          <w:numId w:val="704"/>
        </w:numPr>
        <w:pStyle w:val="BodyText2026"/>
        <w:spacing w:after="80" w:before="20"/>
      </w:pPr>
      <w:r>
        <w:t xml:space="preserve">Keep </w:t>
      </w:r>
      <w:r>
        <w:rPr>
          <w:rStyle w:val="CodeInline"/>
        </w:rPr>
        <w:t>conf/</w:t>
      </w:r>
      <w:r>
        <w:t xml:space="preserve"> readable only by the service account because it contains secrets.</w:t>
      </w:r>
    </w:p>
    <w:p>
      <w:bookmarkStart w:id="1007" w:name="_Toc900007"/>
      <w:pPr>
        <w:pStyle w:val="Heading2"/>
      </w:pPr>
      <w:r>
        <w:t>6  Secure the configuration first</w:t>
      </w:r>
      <w:bookmarkEnd w:id="1007"/>
    </w:p>
    <w:p>
      <w:pPr>
        <w:pStyle w:val="BodyText2026"/>
      </w:pPr>
      <w:r>
        <w:t>The supplied configuration contains sample/default secrets and example addresses. Treat it as a template, not production configuration.</w:t>
      </w:r>
    </w:p>
    <w:p>
      <w:pPr>
        <w:numPr>
          <w:ilvl w:val="0"/>
          <w:numId w:val="705"/>
        </w:numPr>
        <w:pStyle w:val="BodyText2026"/>
        <w:spacing w:after="80" w:before="20"/>
      </w:pPr>
      <w:r>
        <w:t xml:space="preserve">Generate two new high-entropy secrets: one for key, one for </w:t>
      </w:r>
      <w:r>
        <w:rPr>
          <w:rStyle w:val="CodeInline"/>
        </w:rPr>
        <w:t>heartbeat_key</w:t>
      </w:r>
      <w:r>
        <w:t>.</w:t>
      </w:r>
    </w:p>
    <w:p>
      <w:pPr>
        <w:numPr>
          <w:ilvl w:val="0"/>
          <w:numId w:val="705"/>
        </w:numPr>
        <w:pStyle w:val="BodyText2026"/>
        <w:spacing w:after="80" w:before="20"/>
      </w:pPr>
      <w:r>
        <w:t xml:space="preserve">Put them in </w:t>
      </w:r>
      <w:r>
        <w:rPr>
          <w:rStyle w:val="CodeInline"/>
        </w:rPr>
        <w:t>conf/crypt.json</w:t>
      </w:r>
      <w:r>
        <w:t xml:space="preserve"> on both hosts, with identical values.</w:t>
      </w:r>
    </w:p>
    <w:p>
      <w:pPr>
        <w:numPr>
          <w:ilvl w:val="0"/>
          <w:numId w:val="705"/>
        </w:numPr>
        <w:pStyle w:val="BodyText2026"/>
        <w:spacing w:after="80" w:before="20"/>
      </w:pPr>
      <w:r>
        <w:t xml:space="preserve">If using the AES traffic extension, replace </w:t>
      </w:r>
      <w:r>
        <w:rPr>
          <w:rStyle w:val="CodeInline"/>
        </w:rPr>
        <w:t>conf/aes.json</w:t>
      </w:r>
      <w:r>
        <w:t xml:space="preserve"> with the encrypted AES key expected by </w:t>
      </w:r>
      <w:r>
        <w:rPr>
          <w:rStyle w:val="CodeInline"/>
        </w:rPr>
        <w:t>extensions/aes.js</w:t>
      </w:r>
      <w:r>
        <w:t>; otherwise do not enable that extension.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A83B22"/>
          <w:left w:val="single" w:sz="30" w:space="0" w:color="A83B22"/>
          <w:bottom w:val="single" w:sz="4" w:space="0" w:color="A83B22"/>
          <w:right w:val="single" w:sz="4" w:space="0" w:color="A83B22"/>
        </w:tblBorders>
      </w:tblPr>
      <w:tblGrid>
        <w:gridCol w:w="9216"/>
      </w:tblGrid>
      <w:tr>
        <w:tc>
          <w:tcPr>
            <w:tcW w:type="dxa" w:w="9216"/>
            <w:shd w:val="clear" w:color="auto" w:fill="FDF0EC"/>
            <w:tcW w:w="5000" w:type="pct"/>
          </w:tcPr>
          <w:p>
            <w:pPr>
              <w:pStyle w:val="CalloutLabel"/>
            </w:pPr>
            <w:r>
              <w:rPr>
                <w:color w:val="8C2F1B"/>
              </w:rPr>
              <w:t>WARNING</w:t>
            </w:r>
          </w:p>
          <w:p>
            <w:pPr>
              <w:pStyle w:val="CalloutBody"/>
            </w:pPr>
            <w:r>
              <w:t xml:space="preserve">Never put secrets directly in source control. Any string config value may instead use </w:t>
            </w:r>
            <w:r>
              <w:rPr>
                <w:rStyle w:val="CodeInline"/>
              </w:rPr>
              <w:t>env:VARIABLE_NAME</w:t>
            </w:r>
            <w:r>
              <w:t>; Reflection resolves it from the process environment at startup.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pPr>
        <w:pStyle w:val="Lead-in"/>
      </w:pPr>
      <w:r>
        <w:t xml:space="preserve">Example </w:t>
      </w:r>
      <w:r>
        <w:rPr>
          <w:rStyle w:val="CodeInline"/>
        </w:rPr>
        <w:t>crypt.json</w:t>
      </w:r>
      <w:r>
        <w:t xml:space="preserve"> pattern using environment variables:</w:t>
      </w:r>
    </w:p>
    <w:p>
      <w:pPr>
        <w:pStyle w:val="CodeBlock"/>
      </w:pPr>
      <w:r>
        <w:t>{</w:t>
      </w:r>
      <w:r>
        <w:br/>
      </w:r>
      <w:r>
        <w:t xml:space="preserve">  "key": "env:REFLECTION_CONTROL_KEY",</w:t>
      </w:r>
      <w:r>
        <w:br/>
      </w:r>
      <w:r>
        <w:t xml:space="preserve">  "heartbeat_key": "env:REFLECTION_HEARTBEAT_KEY",</w:t>
      </w:r>
      <w:r>
        <w:br/>
      </w:r>
      <w:r>
        <w:t xml:space="preserve">  "fips_mode": false</w:t>
      </w:r>
      <w:r>
        <w:br/>
      </w:r>
      <w:r>
        <w:t>}</w:t>
      </w:r>
    </w:p>
    <w:p>
      <w:pPr>
        <w:pStyle w:val="BodyText2026"/>
      </w:pPr>
      <w:r>
        <w:t xml:space="preserve">Set those environment variables in the service manager, not in a world-readable shell file. Both endpoints must receive exactly the same values. If FIPS is enabled on the installation system, then change </w:t>
      </w:r>
      <w:r>
        <w:rPr>
          <w:rStyle w:val="CodeInline"/>
        </w:rPr>
        <w:t>fips_mode</w:t>
      </w:r>
      <w:r>
        <w:t xml:space="preserve"> flag as true.</w:t>
      </w:r>
    </w:p>
    <w:p>
      <w:bookmarkStart w:id="1008" w:name="_Toc900008"/>
      <w:pPr>
        <w:pStyle w:val="Heading2"/>
      </w:pPr>
      <w:r>
        <w:t>7  Configure a standard TCP relay</w:t>
      </w:r>
      <w:bookmarkEnd w:id="1008"/>
    </w:p>
    <w:p>
      <w:bookmarkStart w:id="1009" w:name="_Toc900009"/>
      <w:pPr>
        <w:pStyle w:val="Heading3"/>
      </w:pPr>
      <w:r>
        <w:t xml:space="preserve">7.1  Mirror host: </w:t>
      </w:r>
      <w:r>
        <w:rPr>
          <w:rStyle w:val="KeyTerm"/>
        </w:rPr>
        <w:t>conf/mirror.json</w:t>
      </w:r>
      <w:bookmarkEnd w:id="1009"/>
    </w:p>
    <w:p>
      <w:pPr>
        <w:pStyle w:val="Lead-in"/>
      </w:pPr>
      <w:r>
        <w:t>Set the bind addresses and shared control ports. A conservative example:</w:t>
      </w:r>
    </w:p>
    <w:p>
      <w:pPr>
        <w:pStyle w:val="CodeBlock"/>
      </w:pPr>
      <w:r>
        <w:t>{</w:t>
      </w:r>
      <w:r>
        <w:br/>
      </w:r>
      <w:r>
        <w:t xml:space="preserve">  "host": "0.0.0.0",</w:t>
      </w:r>
      <w:r>
        <w:br/>
      </w:r>
      <w:r>
        <w:t xml:space="preserve">  "port": 2000,</w:t>
      </w:r>
      <w:r>
        <w:br/>
      </w:r>
      <w:r>
        <w:t xml:space="preserve">  "heartbeat_tcp": 2001,</w:t>
      </w:r>
      <w:r>
        <w:br/>
      </w:r>
      <w:r>
        <w:t xml:space="preserve">  "keep_alive": 1000,</w:t>
      </w:r>
      <w:r>
        <w:br/>
      </w:r>
      <w:r>
        <w:t xml:space="preserve">  "timeout": 300000,</w:t>
      </w:r>
      <w:r>
        <w:br/>
      </w:r>
      <w:r>
        <w:t xml:space="preserve">  "firewall_enabled_tcp": false,</w:t>
      </w:r>
      <w:r>
        <w:br/>
      </w:r>
      <w:r>
        <w:t xml:space="preserve">  "firewall_enabled_udp": false</w:t>
      </w:r>
      <w:r>
        <w:br/>
      </w:r>
      <w:r>
        <w:t>}</w:t>
      </w:r>
    </w:p>
    <w:p>
      <w:pPr>
        <w:pStyle w:val="BodyText2026"/>
      </w:pPr>
      <w:r>
        <w:rPr>
          <w:rStyle w:val="CodeInline"/>
        </w:rPr>
        <w:t>port</w:t>
      </w:r>
      <w:r>
        <w:t xml:space="preserve"> is the Reflection control/data port, not the client-facing service port. The reflector asks the mirror to create the client-facing listener dynamically. </w:t>
      </w:r>
      <w:r>
        <w:rPr>
          <w:rStyle w:val="CodeInline"/>
        </w:rPr>
        <w:t>host</w:t>
      </w:r>
      <w:r>
        <w:t xml:space="preserve"> should be a specific public or private address where possible; use :: only when intentionally accepting IPv6.</w:t>
      </w:r>
    </w:p>
    <w:p>
      <w:bookmarkStart w:id="1010" w:name="_Toc900010"/>
      <w:pPr>
        <w:pStyle w:val="Heading3"/>
      </w:pPr>
      <w:r>
        <w:t xml:space="preserve">7.2  Reflector host: </w:t>
      </w:r>
      <w:r>
        <w:rPr>
          <w:rStyle w:val="KeyTerm"/>
        </w:rPr>
        <w:t>conf/reflect.json</w:t>
      </w:r>
      <w:bookmarkEnd w:id="1010"/>
    </w:p>
    <w:p>
      <w:pPr>
        <w:pStyle w:val="Lead-in"/>
      </w:pPr>
      <w:r>
        <w:t>For an origin service at 10.0.0.25:8080, published as mirror port 1201:</w:t>
      </w:r>
    </w:p>
    <w:p>
      <w:pPr>
        <w:pStyle w:val="CodeBlock"/>
        <w:keepLines w:val="0"/>
        <w:widowControl w:val="1"/>
      </w:pPr>
      <w:r>
        <w:t>{</w:t>
      </w:r>
      <w:r>
        <w:br/>
      </w:r>
      <w:r>
        <w:t xml:space="preserve">  "reflected_host": "10.0.0.25",</w:t>
      </w:r>
      <w:r>
        <w:br/>
      </w:r>
      <w:r>
        <w:t xml:space="preserve">  "reflected_port": 8080,</w:t>
      </w:r>
      <w:r>
        <w:br/>
      </w:r>
      <w:r>
        <w:t xml:space="preserve">  "mirror_host": "&lt;mirror_ip&gt;",</w:t>
      </w:r>
      <w:r>
        <w:br/>
      </w:r>
      <w:r>
        <w:t xml:space="preserve">  "mirror_port": 2000,</w:t>
      </w:r>
      <w:r>
        <w:br/>
      </w:r>
      <w:r>
        <w:t xml:space="preserve">  "mirror_heartbeat_tcp": 2001,</w:t>
      </w:r>
      <w:r>
        <w:br/>
      </w:r>
      <w:r>
        <w:t xml:space="preserve">  "mirror_service_host": "0.0.0.0",</w:t>
      </w:r>
      <w:r>
        <w:br/>
      </w:r>
      <w:r>
        <w:t xml:space="preserve">  "mirror_service_port": 1201,</w:t>
      </w:r>
      <w:r>
        <w:br/>
      </w:r>
      <w:r>
        <w:t xml:space="preserve">  "mirror_force_listener": true,</w:t>
      </w:r>
      <w:r>
        <w:br/>
      </w:r>
      <w:r>
        <w:t xml:space="preserve">  "pool_size": 5,</w:t>
      </w:r>
      <w:r>
        <w:br/>
      </w:r>
      <w:r>
        <w:t xml:space="preserve">  "mirror_connect_timeout": 20000,</w:t>
      </w:r>
      <w:r>
        <w:br/>
      </w:r>
      <w:r>
        <w:t xml:space="preserve">  "heartbeat_check_interval": 60000,</w:t>
      </w:r>
      <w:r>
        <w:br/>
      </w:r>
      <w:r>
        <w:t xml:space="preserve">  "dhcp_check": true,</w:t>
      </w:r>
      <w:r>
        <w:br/>
      </w:r>
      <w:r>
        <w:t xml:space="preserve">  "logfile": "reflector_tcp.log.ndjson"</w:t>
      </w:r>
      <w:r>
        <w:br/>
      </w:r>
      <w:r>
        <w:t>}</w:t>
      </w:r>
    </w:p>
    <w:p>
      <w:pPr>
        <w:pStyle w:val="BodyText2026"/>
      </w:pPr>
      <w:r>
        <w:rPr>
          <w:rStyle w:val="CodeInline"/>
        </w:rPr>
        <w:t>reflected_*</w:t>
      </w:r>
      <w:r>
        <w:t xml:space="preserve"> identifies the origin from the reflector’s network. </w:t>
      </w:r>
      <w:r>
        <w:rPr>
          <w:rStyle w:val="CodeInline"/>
        </w:rPr>
        <w:t>mirror_*</w:t>
      </w:r>
      <w:r>
        <w:t xml:space="preserve"> identifies the mirror control endpoint. </w:t>
      </w:r>
      <w:r>
        <w:rPr>
          <w:rStyle w:val="CodeInline"/>
        </w:rPr>
        <w:t>mirror_service_*</w:t>
      </w:r>
      <w:r>
        <w:t xml:space="preserve"> defines the public listener created on the mirror. </w:t>
      </w:r>
      <w:r>
        <w:rPr>
          <w:rStyle w:val="CodeInline"/>
        </w:rPr>
        <w:t>pool_size</w:t>
      </w:r>
      <w:r>
        <w:t xml:space="preserve"> is the number of idle TCP channels; it also caps the number of simultaneous TCP client sessions for this mapping. Size it for expected concurrency plus a small buffer.</w:t>
      </w:r>
    </w:p>
    <w:p>
      <w:pPr>
        <w:pStyle w:val="BodyText2026"/>
      </w:pPr>
      <w:r>
        <w:t xml:space="preserve">For IPv4/IPv6 UDP, also set </w:t>
      </w:r>
      <w:r>
        <w:rPr>
          <w:rStyle w:val="CodeInline"/>
        </w:rPr>
        <w:t>mirror_hostudpv4</w:t>
      </w:r>
      <w:r>
        <w:t xml:space="preserve">, </w:t>
      </w:r>
      <w:r>
        <w:rPr>
          <w:rStyle w:val="CodeInline"/>
        </w:rPr>
        <w:t>mirror_hostudpv6</w:t>
      </w:r>
      <w:r>
        <w:t xml:space="preserve">, </w:t>
      </w:r>
      <w:r>
        <w:rPr>
          <w:rStyle w:val="CodeInline"/>
        </w:rPr>
        <w:t>mirror_service_host_udpv4</w:t>
      </w:r>
      <w:r>
        <w:t xml:space="preserve">, </w:t>
      </w:r>
      <w:r>
        <w:rPr>
          <w:rStyle w:val="CodeInline"/>
        </w:rPr>
        <w:t>mirror_service_host_udpv6</w:t>
      </w:r>
      <w:r>
        <w:t xml:space="preserve">, and </w:t>
      </w:r>
      <w:r>
        <w:rPr>
          <w:rStyle w:val="CodeInline"/>
        </w:rPr>
        <w:t>ipv6enabled</w:t>
      </w:r>
      <w:r>
        <w:t xml:space="preserve"> appropriately. Disable IPv6 (false) unless both hosts and firewall rules support it.</w:t>
      </w:r>
    </w:p>
    <w:p>
      <w:bookmarkStart w:id="1011" w:name="_Toc900011"/>
      <w:pPr>
        <w:pStyle w:val="Heading3"/>
      </w:pPr>
      <w:r>
        <w:t>7.3  Start order and test</w:t>
      </w:r>
      <w:bookmarkEnd w:id="1011"/>
    </w:p>
    <w:p>
      <w:pPr>
        <w:pStyle w:val="Lead-in"/>
      </w:pPr>
      <w:r>
        <w:t>Start the mirror first, then the reflector:</w:t>
      </w:r>
    </w:p>
    <w:p>
      <w:pPr>
        <w:pStyle w:val="CodeBlock"/>
      </w:pPr>
      <w:r>
        <w:t>cd /opt/reflection</w:t>
      </w:r>
      <w:r>
        <w:br/>
      </w:r>
      <w:r>
        <w:t>node --env-file=.env mirror_tcp.js</w:t>
      </w:r>
      <w:r>
        <w:br/>
      </w:r>
      <w:r/>
      <w:r>
        <w:br/>
      </w:r>
      <w:r>
        <w:t>cd /opt/reflection</w:t>
      </w:r>
      <w:r>
        <w:br/>
      </w:r>
      <w:r>
        <w:t>node --env-file=.env reflect_tcp.js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Do not regard an open TCP port alone as proof of success: confirm an actual application response.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pPr>
        <w:pStyle w:val="CodeBlock"/>
      </w:pPr>
      <w:r>
        <w:t>curl -v http://&lt;mirror_ip&gt;:1201/</w:t>
      </w:r>
    </w:p>
    <w:p>
      <w:bookmarkStart w:id="1012" w:name="_Toc900012"/>
      <w:pPr>
        <w:pStyle w:val="Heading2"/>
      </w:pPr>
      <w:r>
        <w:t>8  TCP, UDP, and multi-service launch commands</w:t>
      </w:r>
      <w:bookmarkEnd w:id="1012"/>
    </w:p>
    <w:p>
      <w:pPr>
        <w:pStyle w:val="Caption"/>
      </w:pPr>
      <w:r>
        <w:rPr>
          <w:rStyle w:val="CaptionLabel"/>
        </w:rPr>
        <w:t xml:space="preserve">Table 2. </w:t>
      </w:r>
      <w:r>
        <w:t>Launch commands for each deployment mode.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2448"/>
        <w:gridCol w:w="3384"/>
        <w:gridCol w:w="3384"/>
      </w:tblGrid>
      <w:tr>
        <w:tc>
          <w:tcPr>
            <w:tcW w:type="dxa" w:w="2448"/>
            <w:tcW w:w="2448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Use case</w:t>
            </w:r>
          </w:p>
        </w:tc>
        <w:tc>
          <w:tcPr>
            <w:tcW w:type="dxa" w:w="3384"/>
            <w:tcW w:w="338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Mirror command</w:t>
            </w:r>
          </w:p>
        </w:tc>
        <w:tc>
          <w:tcPr>
            <w:tcW w:type="dxa" w:w="3384"/>
            <w:tcW w:w="338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Reflector command</w:t>
            </w:r>
          </w:p>
        </w:tc>
        <w:trPr>
          <w:cantSplit/>
          <w:tblHeader/>
        </w:trPr>
      </w:tr>
      <w:tr>
        <w:tc>
          <w:tcPr>
            <w:tcW w:type="dxa" w:w="2448"/>
            <w:tcW w:w="2448" w:type="dxa"/>
            <w:vAlign w:val="center"/>
          </w:tcPr>
          <w:p>
            <w:pPr>
              <w:pStyle w:val="TableTerm"/>
            </w:pPr>
            <w:r>
              <w:t>TCP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mirror_tcp.js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reflect_tcp.js</w:t>
            </w:r>
          </w:p>
        </w:tc>
        <w:trPr>
          <w:cantSplit/>
        </w:trPr>
      </w:tr>
      <w:tr>
        <w:tc>
          <w:tcPr>
            <w:tcW w:type="dxa" w:w="2448"/>
            <w:tcW w:w="2448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UDP</w:t>
            </w:r>
          </w:p>
        </w:tc>
        <w:tc>
          <w:tcPr>
            <w:tcW w:type="dxa" w:w="3384"/>
            <w:tcW w:w="3384" w:type="dxa"/>
            <w:vAlign w:val="center"/>
            <w:shd w:val="clear" w:color="auto" w:fill="F6F8FA"/>
          </w:tcPr>
          <w:p>
            <w:pPr>
              <w:pStyle w:val="TableKey"/>
            </w:pPr>
            <w:r>
              <w:rPr>
                <w:b w:val="0"/>
              </w:rPr>
              <w:t>node mirror_udp.js</w:t>
            </w:r>
          </w:p>
        </w:tc>
        <w:tc>
          <w:tcPr>
            <w:tcW w:type="dxa" w:w="3384"/>
            <w:tcW w:w="3384" w:type="dxa"/>
            <w:vAlign w:val="center"/>
            <w:shd w:val="clear" w:color="auto" w:fill="F6F8FA"/>
          </w:tcPr>
          <w:p>
            <w:pPr>
              <w:pStyle w:val="TableKey"/>
            </w:pPr>
            <w:r>
              <w:rPr>
                <w:b w:val="0"/>
              </w:rPr>
              <w:t>node reflect_udp.js</w:t>
            </w:r>
          </w:p>
        </w:tc>
        <w:trPr>
          <w:cantSplit/>
        </w:trPr>
      </w:tr>
      <w:tr>
        <w:tc>
          <w:tcPr>
            <w:tcW w:type="dxa" w:w="2448"/>
            <w:tcW w:w="2448" w:type="dxa"/>
            <w:vAlign w:val="center"/>
          </w:tcPr>
          <w:p>
            <w:pPr>
              <w:pStyle w:val="TableTerm"/>
            </w:pPr>
            <w:r>
              <w:t>Many TCP mappings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mirror_tcp.js</w:t>
            </w:r>
          </w:p>
        </w:tc>
        <w:tc>
          <w:tcPr>
            <w:tcW w:type="dxa" w:w="3384"/>
            <w:tcW w:w="3384" w:type="dxa"/>
            <w:vAlign w:val="center"/>
          </w:tcPr>
          <w:p>
            <w:pPr>
              <w:pStyle w:val="TableKey"/>
            </w:pPr>
            <w:r>
              <w:rPr>
                <w:b w:val="0"/>
              </w:rPr>
              <w:t>node massreflect_tcp.js</w:t>
            </w:r>
          </w:p>
        </w:tc>
        <w:trPr>
          <w:cantSplit/>
        </w:trPr>
      </w:tr>
    </w:tbl>
    <w:p>
      <w:pPr>
        <w:pStyle w:val="BodyText2026"/>
        <w:spacing w:after="0" w:line="160" w:lineRule="exact"/>
      </w:pPr>
    </w:p>
    <w:p>
      <w:bookmarkStart w:id="1013" w:name="_Toc900013"/>
      <w:pPr>
        <w:pStyle w:val="Heading3"/>
      </w:pPr>
      <w:r>
        <w:t>8.1  Multiple TCP mappings</w:t>
      </w:r>
      <w:bookmarkEnd w:id="1013"/>
    </w:p>
    <w:p>
      <w:pPr>
        <w:pStyle w:val="BodyText2026"/>
      </w:pPr>
      <w:r>
        <w:t xml:space="preserve">Use </w:t>
      </w:r>
      <w:r>
        <w:rPr>
          <w:rStyle w:val="CodeInline"/>
        </w:rPr>
        <w:t>conf/massreflect.json</w:t>
      </w:r>
      <w:r>
        <w:t xml:space="preserve"> when one reflector publishes multiple origins or multiple reflectors use the same mirror.</w:t>
      </w:r>
    </w:p>
    <w:p>
      <w:pPr>
        <w:pStyle w:val="Lead-in"/>
      </w:pPr>
      <w:r>
        <w:t xml:space="preserve">Each </w:t>
      </w:r>
      <w:r>
        <w:rPr>
          <w:rStyle w:val="CodeInline"/>
        </w:rPr>
        <w:t>reflected_hosts</w:t>
      </w:r>
      <w:r>
        <w:t xml:space="preserve"> string follows this syntax:</w:t>
      </w:r>
    </w:p>
    <w:p>
      <w:pPr>
        <w:pStyle w:val="CodeBlock"/>
      </w:pPr>
      <w:r>
        <w:t>"origin-host:origin-port-&gt;published-bind-address:published-port"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 xml:space="preserve">Can leave the </w:t>
            </w:r>
            <w:r>
              <w:rPr>
                <w:rStyle w:val="CodeInline"/>
              </w:rPr>
              <w:t>Mirror_hostsudpv6</w:t>
            </w:r>
            <w:r>
              <w:t xml:space="preserve"> blank if using ipv4.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pPr>
        <w:pStyle w:val="CodeBlock"/>
      </w:pPr>
      <w:r>
        <w:rPr>
          <w:sz w:val="15"/>
        </w:rPr>
        <w:t>[</w:t>
      </w:r>
      <w:r>
        <w:br/>
      </w:r>
      <w:r>
        <w:rPr>
          <w:sz w:val="15"/>
        </w:rPr>
        <w:t xml:space="preserve">    {</w:t>
      </w:r>
      <w:r>
        <w:br/>
      </w:r>
      <w:r>
        <w:rPr>
          <w:sz w:val="15"/>
        </w:rPr>
        <w:t xml:space="preserve">        "reflected_hosts": ["216.116.72.174:80-&gt;[::]:1201","216.116.72.174:443-&gt;[::]:1202"],</w:t>
      </w:r>
      <w:r>
        <w:br/>
      </w:r>
      <w:r>
        <w:rPr>
          <w:sz w:val="15"/>
        </w:rPr>
        <w:t xml:space="preserve">        "mirror_host": "&lt;mirror_ip&gt;:&lt;mirror_port&gt;",</w:t>
      </w:r>
      <w:r>
        <w:br/>
      </w:r>
      <w:r>
        <w:rPr>
          <w:sz w:val="15"/>
        </w:rPr>
        <w:t xml:space="preserve">        "mirror_hostsudpv4": "&lt;mirror_ipv4&gt;:&lt;mirror_port&gt;",</w:t>
      </w:r>
      <w:r>
        <w:br/>
      </w:r>
      <w:r>
        <w:rPr>
          <w:sz w:val="15"/>
        </w:rPr>
        <w:t xml:space="preserve">        "Mirror_hostsudpv6": "&lt;mirror_ipv6&gt;:&lt;mirror_port&gt;",</w:t>
      </w:r>
      <w:r>
        <w:br/>
      </w:r>
      <w:r>
        <w:rPr>
          <w:sz w:val="15"/>
        </w:rPr>
        <w:t xml:space="preserve">        "mirror_heartbeat_tcp": 2001,</w:t>
      </w:r>
      <w:r>
        <w:br/>
      </w:r>
      <w:r>
        <w:rPr>
          <w:sz w:val="15"/>
        </w:rPr>
        <w:t xml:space="preserve">        "mirror_heartbeat_udp": 1002</w:t>
      </w:r>
      <w:r>
        <w:br/>
      </w:r>
      <w:r>
        <w:rPr>
          <w:sz w:val="15"/>
        </w:rPr>
        <w:t xml:space="preserve">    }</w:t>
      </w:r>
      <w:r>
        <w:br/>
      </w:r>
      <w:r>
        <w:rPr>
          <w:sz w:val="15"/>
        </w:rPr>
        <w:t>]</w:t>
      </w:r>
    </w:p>
    <w:p>
      <w:pPr>
        <w:sectPr>
          <w:headerReference w:type="default" r:id="rId26"/>
          <w:footerReference w:type="default" r:id="rId27"/>
          <w:pgSz w:w="12240" w:h="15840"/>
          <w:pgMar w:top="1368" w:right="1512" w:bottom="1224" w:left="1512" w:header="720" w:footer="648" w:gutter="0"/>
          <w:cols w:space="720"/>
          <w:docGrid w:linePitch="360"/>
        </w:sectPr>
      </w:pPr>
    </w:p>
    <w:p>
      <w:pPr>
        <w:pStyle w:val="BodyText2026"/>
        <w:spacing w:before="0" w:after="0" w:line="2600" w:lineRule="exact"/>
      </w:pPr>
    </w:p>
    <w:p>
      <w:pPr>
        <w:pStyle w:val="PartLabel"/>
      </w:pPr>
      <w:r>
        <w:t>Part II</w:t>
      </w:r>
    </w:p>
    <w:p>
      <w:bookmarkStart w:id="1014" w:name="_Toc900014"/>
      <w:pPr>
        <w:pStyle w:val="Heading1"/>
      </w:pPr>
      <w:r>
        <w:t>Administrator &amp; Operations Manual</w:t>
      </w:r>
      <w:bookmarkEnd w:id="1014"/>
    </w:p>
    <w:p>
      <w:pPr>
        <w:pStyle w:val="BodyText2026"/>
        <w:spacing w:before="200" w:after="440" w:line="40" w:lineRule="exact"/>
        <w:pBdr>
          <w:bottom w:val="single" w:sz="16" w:space="1" w:color="0E7C78"/>
        </w:pBdr>
        <w:ind w:left="3600" w:right="3600"/>
      </w:pPr>
      <w:r>
        <w:rPr>
          <w:sz w:val="4"/>
        </w:rPr>
      </w:r>
    </w:p>
    <w:p>
      <w:pPr>
        <w:pStyle w:val="PartLabel"/>
        <w:spacing w:before="120" w:after="160"/>
      </w:pPr>
      <w:r>
        <w:rPr>
          <w:color w:val="5C6672"/>
          <w:sz w:val="17"/>
          <w:spacing w:val="34"/>
        </w:rPr>
        <w:t>In this part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9  </w:t>
      </w:r>
      <w:r>
        <w:t xml:space="preserve"> Configuration reference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10  </w:t>
      </w:r>
      <w:r>
        <w:t xml:space="preserve"> Optional extensions and data handling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11  </w:t>
      </w:r>
      <w:r>
        <w:t xml:space="preserve"> Optional firewall control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12  </w:t>
      </w:r>
      <w:r>
        <w:t xml:space="preserve"> Production service management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13  </w:t>
      </w:r>
      <w:r>
        <w:t xml:space="preserve"> Operation and validation checklist</w:t>
      </w:r>
    </w:p>
    <w:p>
      <w:pPr>
        <w:pStyle w:val="PartSummary"/>
        <w:spacing w:before="40" w:after="40"/>
      </w:pPr>
      <w:r>
        <w:rPr>
          <w:b/>
          <w:color w:val="0A2647"/>
        </w:rPr>
        <w:t xml:space="preserve">14  </w:t>
      </w:r>
      <w:r>
        <w:t xml:space="preserve"> Troubleshooting</w:t>
      </w:r>
    </w:p>
    <w:p>
      <w:pPr>
        <w:sectPr>
          <w:headerReference w:type="default" r:id="rId28"/>
          <w:footerReference w:type="default" r:id="rId29"/>
          <w:headerReference w:type="even" r:id="rId30"/>
          <w:footerReference w:type="even" r:id="rId31"/>
          <w:headerReference w:type="first" r:id="rId32"/>
          <w:footerReference w:type="first" r:id="rId33"/>
          <w:pgSz w:w="12240" w:h="15840"/>
          <w:pgMar w:top="1368" w:right="1512" w:bottom="1224" w:left="1512" w:header="720" w:footer="648" w:gutter="0"/>
          <w:cols w:space="720"/>
          <w:docGrid w:linePitch="360"/>
        </w:sectPr>
      </w:pPr>
    </w:p>
    <w:p>
      <w:bookmarkStart w:id="1015" w:name="_Toc900015"/>
      <w:pPr>
        <w:pStyle w:val="Heading2"/>
        <w:pBdr>
          <w:top w:val="nil"/>
        </w:pBdr>
        <w:spacing w:before="40"/>
      </w:pPr>
      <w:r>
        <w:t>9  Configuration reference</w:t>
      </w:r>
      <w:bookmarkEnd w:id="1015"/>
    </w:p>
    <w:p>
      <w:bookmarkStart w:id="1016" w:name="_Toc900016"/>
      <w:pPr>
        <w:pStyle w:val="Heading3"/>
      </w:pPr>
      <w:r>
        <w:t xml:space="preserve">9.1  </w:t>
      </w:r>
      <w:r>
        <w:rPr>
          <w:rStyle w:val="KeyTerm"/>
        </w:rPr>
        <w:t>conf/reflect.json</w:t>
      </w:r>
      <w:bookmarkEnd w:id="1016"/>
    </w:p>
    <w:p>
      <w:pPr>
        <w:pStyle w:val="Caption"/>
      </w:pPr>
      <w:r>
        <w:rPr>
          <w:rStyle w:val="CaptionLabel"/>
        </w:rPr>
        <w:t xml:space="preserve">Table 3. </w:t>
      </w:r>
      <w:r>
        <w:t>Reflector configuration keys.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3715"/>
        <w:gridCol w:w="5500"/>
      </w:tblGrid>
      <w:tr>
        <w:tc>
          <w:tcPr>
            <w:tcW w:type="dxa" w:w="3715"/>
            <w:tcW w:w="3715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Key</w:t>
            </w:r>
          </w:p>
        </w:tc>
        <w:tc>
          <w:tcPr>
            <w:tcW w:type="dxa" w:w="5500"/>
            <w:tcW w:w="5500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Meaning</w:t>
            </w:r>
          </w:p>
        </w:tc>
        <w:trPr>
          <w:cantSplit/>
          <w:tblHeader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reflected_host</w:t>
            </w:r>
            <w:r>
              <w:rPr>
                <w:color w:val="5C6672"/>
              </w:rPr>
              <w:t>,</w:t>
            </w:r>
            <w:r>
              <w:br/>
            </w:r>
            <w:r>
              <w:t>reflected_port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Origin address and port, reachable by the reflector.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mirror_host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mirror_port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Mirror TCP control/data endpoint.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mirror_hostudpv4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mirror_hostudpv6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UDP mirror addresses.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mirror_heartbeat_tcp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mirror_heartbeat_udp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Mirror heartbeat ports.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mirror_service_host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mirror_service_port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TCP public bind address and port created on the mirror.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mirror_service_host_udpv4</w:t>
            </w:r>
            <w:r>
              <w:rPr>
                <w:color w:val="5C6672"/>
              </w:rPr>
              <w:t>,</w:t>
            </w:r>
            <w:r>
              <w:br/>
            </w:r>
            <w:r>
              <w:t>mirror_service_host_udpv6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UDP public bind addresses.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mirror_force_listener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Replaces an existing listener for the mapping when true; avoid sharing a published port between reflectors.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pool_size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Idle TCP channel count / per-mapping concurrency ceiling.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mirror_connect_timeout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Control/UDP connection timeout in milliseconds.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heartbeat_check_interval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Heartbeat interval in milliseconds.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mirror_heartbeats_lost_for_exit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Consecutive failed beats tolerated before exit; supervisor should restart it.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dhcp_check</w:t>
            </w:r>
            <w:r>
              <w:rPr>
                <w:color w:val="5C6672"/>
              </w:rPr>
              <w:t>,</w:t>
            </w:r>
            <w:r>
              <w:br/>
            </w:r>
            <w:r>
              <w:t>dhcp_check_interval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Exits when non-internal network interface addresses change; enable when a supervisor will restart after address changes.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reflector_channel_check_wait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Exit if the TCP channel pool is empty longer than this many milliseconds.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keep_alive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TCP keepalive delay in milliseconds; use -1 to skip.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ipv6enabled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Enables UDP IPv6 socket use.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udp_cleanup_interval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Idle UDP mapping cleanup time in milliseconds; -1 means no cleanup.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logfile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 xml:space="preserve">TCP reflector log filename below </w:t>
            </w:r>
            <w:r>
              <w:rPr>
                <w:rStyle w:val="CodeInlineSmall"/>
              </w:rPr>
              <w:t>logs/</w:t>
            </w:r>
            <w:r>
              <w:t>.</w:t>
            </w:r>
          </w:p>
        </w:tc>
        <w:trPr>
          <w:cantSplit/>
        </w:trPr>
      </w:tr>
    </w:tbl>
    <w:p>
      <w:pPr>
        <w:pStyle w:val="BodyText2026"/>
        <w:spacing w:after="0" w:line="160" w:lineRule="exact"/>
      </w:pPr>
    </w:p>
    <w:p>
      <w:bookmarkStart w:id="1017" w:name="_Toc900017"/>
      <w:pPr>
        <w:pStyle w:val="Heading3"/>
      </w:pPr>
      <w:r>
        <w:t xml:space="preserve">9.2  </w:t>
      </w:r>
      <w:r>
        <w:rPr>
          <w:rStyle w:val="KeyTerm"/>
        </w:rPr>
        <w:t>conf/mirror.json</w:t>
      </w:r>
      <w:bookmarkEnd w:id="1017"/>
    </w:p>
    <w:p>
      <w:pPr>
        <w:pStyle w:val="Caption"/>
      </w:pPr>
      <w:r>
        <w:rPr>
          <w:rStyle w:val="CaptionLabel"/>
        </w:rPr>
        <w:t xml:space="preserve">Table 4. </w:t>
      </w:r>
      <w:r>
        <w:t>Mirror configuration keys.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3715"/>
        <w:gridCol w:w="5500"/>
      </w:tblGrid>
      <w:tr>
        <w:tc>
          <w:tcPr>
            <w:tcW w:type="dxa" w:w="3715"/>
            <w:tcW w:w="3715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Key</w:t>
            </w:r>
          </w:p>
        </w:tc>
        <w:tc>
          <w:tcPr>
            <w:tcW w:type="dxa" w:w="5500"/>
            <w:tcW w:w="5500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Meaning</w:t>
            </w:r>
          </w:p>
        </w:tc>
        <w:trPr>
          <w:cantSplit/>
          <w:tblHeader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host</w:t>
            </w:r>
            <w:r>
              <w:rPr>
                <w:color w:val="5C6672"/>
              </w:rPr>
              <w:t>,</w:t>
            </w:r>
            <w:r>
              <w:br/>
            </w:r>
            <w:r>
              <w:t>port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TCP mirror bind address and Reflection control/data port.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hostudpv4</w:t>
            </w:r>
            <w:r>
              <w:rPr>
                <w:color w:val="5C6672"/>
              </w:rPr>
              <w:t>,</w:t>
            </w:r>
            <w:r>
              <w:br/>
            </w:r>
            <w:r>
              <w:t>hostudpv6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UDP bind addresses.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heartbeat_tcp</w:t>
            </w:r>
            <w:r>
              <w:rPr>
                <w:color w:val="5C6672"/>
              </w:rPr>
              <w:t>,</w:t>
            </w:r>
            <w:r>
              <w:br/>
            </w:r>
            <w:r>
              <w:t>heartbeat_udp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Heartbeat server ports.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keep_alive</w:t>
            </w:r>
            <w:r>
              <w:rPr>
                <w:color w:val="5C6672"/>
              </w:rPr>
              <w:t>,</w:t>
            </w:r>
            <w:r>
              <w:br/>
            </w:r>
            <w:r>
              <w:t>timeout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TCP channel keepalive and idle timeout.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udp_cleanup_interval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Idle UDP client mapping cleanup period.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  <w:shd w:val="clear" w:color="auto" w:fill="F6F8FA"/>
          </w:tcPr>
          <w:p>
            <w:pPr>
              <w:pStyle w:val="TableKey"/>
            </w:pPr>
            <w:r>
              <w:t>ipv6enabled</w:t>
            </w:r>
          </w:p>
        </w:tc>
        <w:tc>
          <w:tcPr>
            <w:tcW w:type="dxa" w:w="5500"/>
            <w:tcW w:w="5500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Whether mirror UDP also binds IPv6.</w:t>
            </w:r>
          </w:p>
        </w:tc>
        <w:trPr>
          <w:cantSplit/>
        </w:trPr>
      </w:tr>
      <w:tr>
        <w:tc>
          <w:tcPr>
            <w:tcW w:type="dxa" w:w="3715"/>
            <w:tcW w:w="3715" w:type="dxa"/>
            <w:vAlign w:val="center"/>
          </w:tcPr>
          <w:p>
            <w:pPr>
              <w:pStyle w:val="TableKey"/>
            </w:pPr>
            <w:r>
              <w:t>firewall_*</w:t>
            </w:r>
          </w:p>
        </w:tc>
        <w:tc>
          <w:tcPr>
            <w:tcW w:type="dxa" w:w="5500"/>
            <w:tcW w:w="5500" w:type="dxa"/>
            <w:vAlign w:val="center"/>
          </w:tcPr>
          <w:p>
            <w:pPr>
              <w:pStyle w:val="TableText"/>
            </w:pPr>
            <w:r>
              <w:t>Optional admission-control settings; see next section.</w:t>
            </w:r>
          </w:p>
        </w:tc>
        <w:trPr>
          <w:cantSplit/>
        </w:trPr>
      </w:tr>
    </w:tbl>
    <w:p>
      <w:pPr>
        <w:pStyle w:val="BodyText2026"/>
        <w:spacing w:after="0" w:line="160" w:lineRule="exact"/>
      </w:pPr>
    </w:p>
    <w:p>
      <w:bookmarkStart w:id="1018" w:name="_Toc900018"/>
      <w:pPr>
        <w:pStyle w:val="Heading3"/>
      </w:pPr>
      <w:r>
        <w:t>9.3  Worker and logging configuration</w:t>
      </w:r>
      <w:bookmarkEnd w:id="1018"/>
    </w:p>
    <w:p>
      <w:pPr>
        <w:pStyle w:val="BodyText2026"/>
      </w:pPr>
      <w:r>
        <w:rPr>
          <w:rStyle w:val="CodeInline"/>
        </w:rPr>
        <w:t>cluster_reflector.json</w:t>
      </w:r>
      <w:r>
        <w:t xml:space="preserve"> and </w:t>
      </w:r>
      <w:r>
        <w:rPr>
          <w:rStyle w:val="CodeInline"/>
        </w:rPr>
        <w:t>cluster_mirror.json</w:t>
      </w:r>
      <w:r>
        <w:t xml:space="preserve"> set workers; 0 means use CPU count, subject to </w:t>
      </w:r>
      <w:r>
        <w:rPr>
          <w:rStyle w:val="CodeInline"/>
        </w:rPr>
        <w:t>min_workers</w:t>
      </w:r>
      <w:r>
        <w:t xml:space="preserve">. More mirror workers add their worker index times </w:t>
      </w:r>
      <w:r>
        <w:rPr>
          <w:rStyle w:val="CodeInline"/>
        </w:rPr>
        <w:t>offset_window</w:t>
      </w:r>
      <w:r>
        <w:t xml:space="preserve"> to mirror, heartbeat, and firewall ports. In a multi-worker deployment, open and document each offset port; keep workers: 1 for a simple client installation.</w:t>
      </w:r>
    </w:p>
    <w:p>
      <w:pPr>
        <w:pStyle w:val="BodyText2026"/>
      </w:pPr>
      <w:r>
        <w:rPr>
          <w:rStyle w:val="CodeInline"/>
        </w:rPr>
        <w:t>log.json</w:t>
      </w:r>
      <w:r>
        <w:t xml:space="preserve"> controls debug logging, synchronous writing, and the nominal </w:t>
      </w:r>
      <w:r>
        <w:rPr>
          <w:rStyle w:val="CodeInline"/>
        </w:rPr>
        <w:t>max_log_mb</w:t>
      </w:r>
      <w:r>
        <w:t xml:space="preserve">. Logs are newline-delimited JSON in </w:t>
      </w:r>
      <w:r>
        <w:rPr>
          <w:rStyle w:val="CodeInline"/>
        </w:rPr>
        <w:t>logs/</w:t>
      </w:r>
      <w:r>
        <w:t>. Rotate and retain them with the operating system’s log facility; do not rely solely on the application’s maximum-size setting.</w:t>
      </w:r>
    </w:p>
    <w:p>
      <w:bookmarkStart w:id="1019" w:name="_Toc900019"/>
      <w:pPr>
        <w:pStyle w:val="Heading2"/>
      </w:pPr>
      <w:r>
        <w:t>10  Optional extensions and data handling</w:t>
      </w:r>
      <w:bookmarkEnd w:id="1019"/>
    </w:p>
    <w:p>
      <w:pPr>
        <w:pStyle w:val="BodyText2026"/>
      </w:pPr>
      <w:r>
        <w:rPr>
          <w:rStyle w:val="CodeInline"/>
        </w:rPr>
        <w:t>conf/extensions.json</w:t>
      </w:r>
      <w:r>
        <w:t xml:space="preserve"> defines an ordered extension chain. The supplied default enables both traffic recorder and traffic logger.</w:t>
      </w:r>
    </w:p>
    <w:p>
      <w:pPr>
        <w:pStyle w:val="Caption"/>
      </w:pPr>
      <w:r>
        <w:rPr>
          <w:rStyle w:val="CaptionLabel"/>
        </w:rPr>
        <w:t xml:space="preserve">Table 5. </w:t>
      </w:r>
      <w:r>
        <w:t>Extensions supplied with Reflection.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1872"/>
        <w:gridCol w:w="2188"/>
        <w:gridCol w:w="2678"/>
        <w:gridCol w:w="2476"/>
      </w:tblGrid>
      <w:tr>
        <w:tc>
          <w:tcPr>
            <w:tcW w:type="dxa" w:w="1872"/>
            <w:tcW w:w="1872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Extension</w:t>
            </w:r>
          </w:p>
        </w:tc>
        <w:tc>
          <w:tcPr>
            <w:tcW w:type="dxa" w:w="2188"/>
            <w:tcW w:w="2188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Configuration</w:t>
            </w:r>
          </w:p>
        </w:tc>
        <w:tc>
          <w:tcPr>
            <w:tcW w:type="dxa" w:w="2678"/>
            <w:tcW w:w="2678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Effect</w:t>
            </w:r>
          </w:p>
        </w:tc>
        <w:tc>
          <w:tcPr>
            <w:tcW w:type="dxa" w:w="2476"/>
            <w:tcW w:w="2476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Handover advice</w:t>
            </w:r>
          </w:p>
        </w:tc>
        <w:trPr>
          <w:cantSplit/>
          <w:tblHeader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Key"/>
            </w:pPr>
            <w:r>
              <w:t>trafficlogger</w:t>
            </w:r>
          </w:p>
        </w:tc>
        <w:tc>
          <w:tcPr>
            <w:tcW w:type="dxa" w:w="2188"/>
            <w:tcW w:w="2188" w:type="dxa"/>
            <w:vAlign w:val="center"/>
          </w:tcPr>
          <w:p>
            <w:pPr>
              <w:pStyle w:val="TableText"/>
            </w:pPr>
            <w:r>
              <w:rPr>
                <w:rStyle w:val="CodeInlineSmall"/>
              </w:rPr>
              <w:t>trafficlogger.json</w:t>
            </w:r>
          </w:p>
        </w:tc>
        <w:tc>
          <w:tcPr>
            <w:tcW w:type="dxa" w:w="2678"/>
            <w:tcW w:w="2678" w:type="dxa"/>
            <w:vAlign w:val="center"/>
          </w:tcPr>
          <w:p>
            <w:pPr>
              <w:pStyle w:val="TableText"/>
            </w:pPr>
            <w:r>
              <w:t xml:space="preserve">Writes metadata and payload chunks to </w:t>
            </w:r>
            <w:r>
              <w:rPr>
                <w:rStyle w:val="CodeInlineSmall"/>
              </w:rPr>
              <w:t>logs/traffic.log</w:t>
            </w:r>
            <w:r>
              <w:t>; payloads are Base64 by default.</w:t>
            </w:r>
          </w:p>
        </w:tc>
        <w:tc>
          <w:tcPr>
            <w:tcW w:type="dxa" w:w="2476"/>
            <w:tcW w:w="2476" w:type="dxa"/>
            <w:vAlign w:val="center"/>
          </w:tcPr>
          <w:p>
            <w:pPr>
              <w:pStyle w:val="TableText"/>
            </w:pPr>
            <w:r>
              <w:t>Disable in production unless it is required and retention/access controls are approved.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  <w:shd w:val="clear" w:color="auto" w:fill="F6F8FA"/>
          </w:tcPr>
          <w:p>
            <w:pPr>
              <w:pStyle w:val="TableKey"/>
            </w:pPr>
            <w:r>
              <w:t>trafficrecorder</w:t>
            </w:r>
          </w:p>
        </w:tc>
        <w:tc>
          <w:tcPr>
            <w:tcW w:type="dxa" w:w="2188"/>
            <w:tcW w:w="2188" w:type="dxa"/>
            <w:vAlign w:val="center"/>
            <w:shd w:val="clear" w:color="auto" w:fill="F6F8FA"/>
          </w:tcPr>
          <w:p>
            <w:pPr>
              <w:pStyle w:val="TableText"/>
            </w:pPr>
            <w:r>
              <w:rPr>
                <w:rStyle w:val="CodeInlineSmall"/>
              </w:rPr>
              <w:t>trafficrecorder.json</w:t>
            </w:r>
          </w:p>
        </w:tc>
        <w:tc>
          <w:tcPr>
            <w:tcW w:type="dxa" w:w="2678"/>
            <w:tcW w:w="2678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Writes raw inbound/outbound payload streams to </w:t>
            </w:r>
            <w:r>
              <w:rPr>
                <w:rStyle w:val="CodeInlineSmall"/>
              </w:rPr>
              <w:t>logs/capture.log.in</w:t>
            </w:r>
            <w:r>
              <w:t xml:space="preserve"> and .out.</w:t>
            </w:r>
          </w:p>
        </w:tc>
        <w:tc>
          <w:tcPr>
            <w:tcW w:type="dxa" w:w="2476"/>
            <w:tcW w:w="2476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Treat as sensitive capture data; normally disable.</w:t>
            </w:r>
          </w:p>
        </w:tc>
        <w:trPr>
          <w:cantSplit/>
        </w:trPr>
      </w:tr>
      <w:tr>
        <w:tc>
          <w:tcPr>
            <w:tcW w:type="dxa" w:w="1872"/>
            <w:tcW w:w="1872" w:type="dxa"/>
            <w:vAlign w:val="center"/>
          </w:tcPr>
          <w:p>
            <w:pPr>
              <w:pStyle w:val="TableKey"/>
            </w:pPr>
            <w:r>
              <w:t>aes</w:t>
            </w:r>
          </w:p>
        </w:tc>
        <w:tc>
          <w:tcPr>
            <w:tcW w:type="dxa" w:w="2188"/>
            <w:tcW w:w="2188" w:type="dxa"/>
            <w:vAlign w:val="center"/>
          </w:tcPr>
          <w:p>
            <w:pPr>
              <w:pStyle w:val="TableText"/>
            </w:pPr>
            <w:r>
              <w:rPr>
                <w:rStyle w:val="CodeInlineSmall"/>
              </w:rPr>
              <w:t>aes.json</w:t>
            </w:r>
          </w:p>
        </w:tc>
        <w:tc>
          <w:tcPr>
            <w:tcW w:type="dxa" w:w="2678"/>
            <w:tcW w:w="2678" w:type="dxa"/>
            <w:vAlign w:val="center"/>
          </w:tcPr>
          <w:p>
            <w:pPr>
              <w:pStyle w:val="TableText"/>
            </w:pPr>
            <w:r>
              <w:t>Adds framed AES payload encryption for TCP only.</w:t>
            </w:r>
          </w:p>
        </w:tc>
        <w:tc>
          <w:tcPr>
            <w:tcW w:type="dxa" w:w="2476"/>
            <w:tcW w:w="2476" w:type="dxa"/>
            <w:vAlign w:val="center"/>
          </w:tcPr>
          <w:p>
            <w:pPr>
              <w:pStyle w:val="TableText"/>
            </w:pPr>
            <w:r>
              <w:t>Add only after both ends use matching extension order/key and an end-to-end test succeeds.</w:t>
            </w:r>
          </w:p>
        </w:tc>
        <w:trPr>
          <w:cantSplit/>
        </w:trPr>
      </w:tr>
    </w:tbl>
    <w:p>
      <w:pPr>
        <w:pStyle w:val="BodyText2026"/>
        <w:spacing w:after="0" w:line="160" w:lineRule="exact"/>
      </w:pPr>
    </w:p>
    <w:p>
      <w:pPr>
        <w:pStyle w:val="BodyText2026"/>
      </w:pPr>
      <w:r>
        <w:t xml:space="preserve">Set both logger/recorder enabled values to false to stop payload capture. Ensure the </w:t>
      </w:r>
      <w:r>
        <w:rPr>
          <w:rStyle w:val="CodeInline"/>
        </w:rPr>
        <w:t>logs/</w:t>
      </w:r>
      <w:r>
        <w:t xml:space="preserve"> directory exists before enabling extensions.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Extension order matters: outbound processing runs in reverse order, so both ends must have the same list/order.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pPr>
        <w:pStyle w:val="BodyText2026"/>
      </w:pPr>
      <w:r>
        <w:t xml:space="preserve">To enable aes extension add </w:t>
      </w:r>
      <w:r>
        <w:rPr>
          <w:rStyle w:val="CodeInline"/>
        </w:rPr>
        <w:t>{"extension": "aes"}</w:t>
      </w:r>
      <w:r>
        <w:t xml:space="preserve"> in </w:t>
      </w:r>
      <w:r>
        <w:rPr>
          <w:rStyle w:val="CodeInline"/>
        </w:rPr>
        <w:t>extension.json</w:t>
      </w:r>
    </w:p>
    <w:p>
      <w:bookmarkStart w:id="1020" w:name="_Toc900020"/>
      <w:pPr>
        <w:pStyle w:val="Heading2"/>
      </w:pPr>
      <w:r>
        <w:t>11  Optional firewall control</w:t>
      </w:r>
      <w:bookmarkEnd w:id="1020"/>
    </w:p>
    <w:p>
      <w:pPr>
        <w:pStyle w:val="BodyText2026"/>
      </w:pPr>
      <w:r>
        <w:t xml:space="preserve">When </w:t>
      </w:r>
      <w:r>
        <w:rPr>
          <w:rStyle w:val="CodeInline"/>
        </w:rPr>
        <w:t>firewall_enabled_tcp</w:t>
      </w:r>
      <w:r>
        <w:t xml:space="preserve"> or </w:t>
      </w:r>
      <w:r>
        <w:rPr>
          <w:rStyle w:val="CodeInline"/>
        </w:rPr>
        <w:t>firewall_enabled_udp</w:t>
      </w:r>
      <w:r>
        <w:t xml:space="preserve"> is true, a newly created mirror listener denies traffic unless the source IP is explicitly allowed or passes the configured geography rules.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A83B22"/>
          <w:left w:val="single" w:sz="30" w:space="0" w:color="A83B22"/>
          <w:bottom w:val="single" w:sz="4" w:space="0" w:color="A83B22"/>
          <w:right w:val="single" w:sz="4" w:space="0" w:color="A83B22"/>
        </w:tblBorders>
      </w:tblPr>
      <w:tblGrid>
        <w:gridCol w:w="9216"/>
      </w:tblGrid>
      <w:tr>
        <w:tc>
          <w:tcPr>
            <w:tcW w:type="dxa" w:w="9216"/>
            <w:shd w:val="clear" w:color="auto" w:fill="FDF0EC"/>
            <w:tcW w:w="5000" w:type="pct"/>
          </w:tcPr>
          <w:p>
            <w:pPr>
              <w:pStyle w:val="CalloutLabel"/>
            </w:pPr>
            <w:r>
              <w:rPr>
                <w:color w:val="8C2F1B"/>
              </w:rPr>
              <w:t>WARNING</w:t>
            </w:r>
          </w:p>
          <w:p>
            <w:pPr>
              <w:pStyle w:val="CalloutBody"/>
            </w:pPr>
            <w:r>
              <w:t>The firewall control port is powerful and must be network-restricted.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bookmarkStart w:id="1021" w:name="_Toc900021"/>
      <w:pPr>
        <w:pStyle w:val="Heading3"/>
      </w:pPr>
      <w:r>
        <w:t>11.1  Firewall administration commands</w:t>
      </w:r>
      <w:bookmarkEnd w:id="1021"/>
    </w:p>
    <w:p>
      <w:pPr>
        <w:pStyle w:val="BodyText2026"/>
      </w:pPr>
      <w:r>
        <w:t xml:space="preserve">These commands manage IP access to client-facing listeners on the mirror. Set </w:t>
      </w:r>
      <w:r>
        <w:rPr>
          <w:rStyle w:val="CodeInline"/>
        </w:rPr>
        <w:t>firewall_enabled_tcp: true</w:t>
      </w:r>
      <w:r>
        <w:t xml:space="preserve"> on the mirror and restrict the firewall-control port to trusted administrators.</w:t>
      </w:r>
    </w:p>
    <w:p>
      <w:pPr>
        <w:pStyle w:val="CodeBlock"/>
      </w:pPr>
      <w:r>
        <w:t>node lib/firewall.js open CLIENT_IP PUBLISHED_PORT MIRROR_HOST FIREWALL_CONTROL_PORT [sfw_mode|heartbeat_mode]</w:t>
      </w:r>
    </w:p>
    <w:p>
      <w:pPr>
        <w:pStyle w:val="BodyText2026"/>
      </w:pPr>
      <w:r>
        <w:t xml:space="preserve">Allows </w:t>
      </w:r>
      <w:r>
        <w:rPr>
          <w:rStyle w:val="CodeInline"/>
        </w:rPr>
        <w:t>CLIENT_IP</w:t>
      </w:r>
      <w:r>
        <w:t xml:space="preserve"> to connect to </w:t>
      </w:r>
      <w:r>
        <w:rPr>
          <w:rStyle w:val="CodeInline"/>
        </w:rPr>
        <w:t>PUBLISHED_PORT</w:t>
      </w:r>
      <w:r>
        <w:t xml:space="preserve">. Use </w:t>
      </w:r>
      <w:r>
        <w:rPr>
          <w:rStyle w:val="CodeInline"/>
        </w:rPr>
        <w:t>all</w:t>
      </w:r>
      <w:r>
        <w:t xml:space="preserve"> instead of </w:t>
      </w:r>
      <w:r>
        <w:rPr>
          <w:rStyle w:val="CodeInline"/>
        </w:rPr>
        <w:t>PUBLISHED_PORT</w:t>
      </w:r>
      <w:r>
        <w:t xml:space="preserve"> to target every active listener.</w:t>
      </w:r>
    </w:p>
    <w:p>
      <w:pPr>
        <w:numPr>
          <w:ilvl w:val="0"/>
          <w:numId w:val="703"/>
        </w:numPr>
        <w:pStyle w:val="BodyText2026"/>
        <w:spacing w:after="80" w:before="20"/>
      </w:pPr>
      <w:r>
        <w:rPr>
          <w:rStyle w:val="CodeInline"/>
        </w:rPr>
        <w:t>sfw_mode</w:t>
      </w:r>
      <w:r>
        <w:t>: automatically revokes access when that client’s TCP session ends.</w:t>
      </w:r>
    </w:p>
    <w:p>
      <w:pPr>
        <w:numPr>
          <w:ilvl w:val="0"/>
          <w:numId w:val="703"/>
        </w:numPr>
        <w:pStyle w:val="BodyText2026"/>
        <w:spacing w:after="80" w:before="20"/>
      </w:pPr>
      <w:r>
        <w:rPr>
          <w:rStyle w:val="CodeInline"/>
        </w:rPr>
        <w:t>heartbeat_mode</w:t>
      </w:r>
      <w:r>
        <w:t>: keeps access only while periodic heartbeat commands continue.</w:t>
      </w:r>
    </w:p>
    <w:p>
      <w:pPr>
        <w:pStyle w:val="CodeBlock"/>
      </w:pPr>
      <w:r>
        <w:t>node lib/firewall.js close CLIENT_IP PUBLISHED_PORT MIRROR_HOST FIREWALL_CONTROL_PORT</w:t>
      </w:r>
    </w:p>
    <w:p>
      <w:pPr>
        <w:pStyle w:val="BodyText2026"/>
      </w:pPr>
      <w:r>
        <w:t xml:space="preserve">Revokes </w:t>
      </w:r>
      <w:r>
        <w:rPr>
          <w:rStyle w:val="CodeInline"/>
        </w:rPr>
        <w:t>CLIENT_IP</w:t>
      </w:r>
      <w:r>
        <w:t xml:space="preserve">’s access to </w:t>
      </w:r>
      <w:r>
        <w:rPr>
          <w:rStyle w:val="CodeInline"/>
        </w:rPr>
        <w:t>PUBLISHED_PORT</w:t>
      </w:r>
      <w:r>
        <w:t xml:space="preserve"> and disconnects that IP’s currently active sessions. Use </w:t>
      </w:r>
      <w:r>
        <w:rPr>
          <w:rStyle w:val="CodeInline"/>
        </w:rPr>
        <w:t>all</w:t>
      </w:r>
      <w:r>
        <w:t xml:space="preserve"> to revoke it from every active listener.</w:t>
      </w:r>
    </w:p>
    <w:p>
      <w:pPr>
        <w:pStyle w:val="CodeBlock"/>
      </w:pPr>
      <w:r>
        <w:t>node lib/firewall.js heartbeat CLIENT_IP PUBLISHED_PORT MIRROR_HOST FIREWALL_CONTROL_PORT</w:t>
      </w:r>
    </w:p>
    <w:p>
      <w:pPr>
        <w:pStyle w:val="BodyText2026"/>
      </w:pPr>
      <w:r>
        <w:t xml:space="preserve">Refreshes an existing rule created with </w:t>
      </w:r>
      <w:r>
        <w:rPr>
          <w:rStyle w:val="CodeInline"/>
        </w:rPr>
        <w:t>heartbeat_mode</w:t>
      </w:r>
      <w:r>
        <w:t xml:space="preserve">. It does not create or reopen a rule. If these heartbeats stop, the mirror removes the allowance after </w:t>
      </w:r>
      <w:r>
        <w:rPr>
          <w:rStyle w:val="CodeInline"/>
        </w:rPr>
        <w:t>firewall_timeout_for_heartbeat_mode_autoclose</w:t>
      </w:r>
      <w:r>
        <w:t>.</w:t>
      </w:r>
    </w:p>
    <w:p>
      <w:pPr>
        <w:pStyle w:val="CodeBlock"/>
      </w:pPr>
      <w:r>
        <w:t>node lib/firewall.js check CLIENT_IP PUBLISHED_PORT MIRROR_HOST FIREWALL_CONTROL_PORT</w:t>
      </w:r>
    </w:p>
    <w:p>
      <w:pPr>
        <w:pStyle w:val="BodyText2026"/>
      </w:pPr>
      <w:r>
        <w:t xml:space="preserve">Checks whether </w:t>
      </w:r>
      <w:r>
        <w:rPr>
          <w:rStyle w:val="CodeInline"/>
        </w:rPr>
        <w:t>CLIENT_IP</w:t>
      </w:r>
      <w:r>
        <w:t xml:space="preserve"> would currently be allowed to access </w:t>
      </w:r>
      <w:r>
        <w:rPr>
          <w:rStyle w:val="CodeInline"/>
        </w:rPr>
        <w:t>PUBLISHED_PORT</w:t>
      </w:r>
      <w:r>
        <w:t>, considering explicit firewall rules and configured geofencing.</w:t>
      </w:r>
    </w:p>
    <w:p>
      <w:pPr>
        <w:pStyle w:val="Lead-in"/>
      </w:pPr>
      <w:r>
        <w:t>Example:</w:t>
      </w:r>
    </w:p>
    <w:p>
      <w:pPr>
        <w:pStyle w:val="CodeBlock"/>
      </w:pPr>
      <w:r>
        <w:t>node lib/firewall.js open 203.0.113.10 9898 mirror.example.com 2003 heartbeat_mode</w:t>
      </w:r>
      <w:r>
        <w:br/>
      </w:r>
      <w:r>
        <w:t>node lib/firewall.js heartbeat 203.0.113.10 9898 mirror.example.com 2003</w:t>
      </w:r>
      <w:r>
        <w:br/>
      </w:r>
      <w:r>
        <w:t>node lib/firewall.js check 203.0.113.10 9898 mirror.example.com 2003</w:t>
      </w:r>
      <w:r>
        <w:br/>
      </w:r>
      <w:r>
        <w:t>node lib/firewall.js close 203.0.113.10 9898 mirror.example.com 2003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Geofencing may contact the configured external HTTP geolocation endpoint. Consider privacy, egress controls, and dependency availability before enabling it.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bookmarkStart w:id="1022" w:name="_Toc900022"/>
      <w:pPr>
        <w:pStyle w:val="Heading3"/>
      </w:pPr>
      <w:r>
        <w:t>11.2  Geolocation firewall rules</w:t>
      </w:r>
      <w:bookmarkEnd w:id="1022"/>
    </w:p>
    <w:p>
      <w:pPr>
        <w:pStyle w:val="BodyText2026"/>
      </w:pPr>
      <w:r>
        <w:t xml:space="preserve">Geolocation is configured on the mirror in </w:t>
      </w:r>
      <w:r>
        <w:rPr>
          <w:rStyle w:val="CodeInline"/>
        </w:rPr>
        <w:t>conf/mirror.json</w:t>
      </w:r>
      <w:r>
        <w:t>; there is no separate firewall CLI command for it.</w:t>
      </w:r>
    </w:p>
    <w:p>
      <w:pPr>
        <w:pStyle w:val="CodeBlock"/>
      </w:pPr>
      <w:r>
        <w:t>{</w:t>
      </w:r>
      <w:r>
        <w:br/>
      </w:r>
      <w:r>
        <w:t xml:space="preserve">  "firewall_geofencing_additive": ["ML", "SG", "JP", "private_blocks", "localhost"],</w:t>
      </w:r>
      <w:r>
        <w:br/>
      </w:r>
      <w:r>
        <w:t xml:space="preserve">  "firewall_geofencing_subtractive": ["RU", "CN"],</w:t>
      </w:r>
      <w:r>
        <w:br/>
      </w:r>
      <w:r>
        <w:t xml:space="preserve">  "firewall_geo_server": "www.geoplugin.net",</w:t>
      </w:r>
      <w:r>
        <w:br/>
      </w:r>
      <w:r>
        <w:t xml:space="preserve">  "firewall_ip_cache_size": 2000000</w:t>
      </w:r>
      <w:r>
        <w:br/>
      </w:r>
      <w:r>
        <w:t>}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firewall_geofencing_additive</w:t>
      </w:r>
      <w:r>
        <w:t xml:space="preserve"> — automatically allows clients whose location matches an entry, even if no explicit open command was issued.</w:t>
        <w:br/>
        <w:t>Valid country entries are ISO two-letter country codes, such as "IN", "SG", or "US".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firewall_geofencing_subtractive</w:t>
      </w:r>
      <w:r>
        <w:t xml:space="preserve"> — always denies matching client locations. This takes precedence over an explicit open firewall rule.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firewall_geo_server</w:t>
      </w:r>
      <w:r>
        <w:t xml:space="preserve"> — hostname used to look up public client IP locations. The current implementation calls it over HTTP on port 80.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rStyle w:val="CodeInline"/>
        </w:rPr>
        <w:t>firewall_ip_cache_size</w:t>
      </w:r>
      <w:r>
        <w:t xml:space="preserve"> — maximum number of IP-to-location lookups retained in memory.</w:t>
      </w:r>
    </w:p>
    <w:p>
      <w:pPr>
        <w:pStyle w:val="Lead-in"/>
      </w:pPr>
      <w:r>
        <w:t>Example: allow India, Singapore, and private-network addresses by default, but block Russia and China:</w:t>
      </w:r>
    </w:p>
    <w:p>
      <w:pPr>
        <w:pStyle w:val="CodeBlock"/>
      </w:pPr>
      <w:r>
        <w:t>{</w:t>
      </w:r>
      <w:r>
        <w:br/>
      </w:r>
      <w:r>
        <w:t xml:space="preserve">  "firewall_enabled_tcp": true,</w:t>
      </w:r>
      <w:r>
        <w:br/>
      </w:r>
      <w:r>
        <w:t xml:space="preserve">  "firewall_geofencing_additive": ["IN", "SG", "private_blocks", "localhost"],</w:t>
      </w:r>
      <w:r>
        <w:br/>
      </w:r>
      <w:r>
        <w:t xml:space="preserve">  "firewall_geofencing_subtractive": ["RU", "CN"],</w:t>
      </w:r>
      <w:r>
        <w:br/>
      </w:r>
      <w:r>
        <w:t xml:space="preserve">  "firewall_geo_server": "www.geoplugin.net"</w:t>
      </w:r>
      <w:r>
        <w:br/>
      </w:r>
      <w:r>
        <w:t>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2C5E9E"/>
          <w:left w:val="single" w:sz="30" w:space="0" w:color="2C5E9E"/>
          <w:bottom w:val="single" w:sz="4" w:space="0" w:color="2C5E9E"/>
          <w:right w:val="single" w:sz="4" w:space="0" w:color="2C5E9E"/>
        </w:tblBorders>
      </w:tblPr>
      <w:tblGrid>
        <w:gridCol w:w="9216"/>
      </w:tblGrid>
      <w:tr>
        <w:tc>
          <w:tcPr>
            <w:tcW w:type="dxa" w:w="9216"/>
            <w:shd w:val="clear" w:color="auto" w:fill="EEF3F9"/>
            <w:tcW w:w="5000" w:type="pct"/>
          </w:tcPr>
          <w:p>
            <w:pPr>
              <w:pStyle w:val="CalloutLabel"/>
            </w:pPr>
            <w:r>
              <w:rPr>
                <w:color w:val="1D3E63"/>
              </w:rPr>
              <w:t>NOTE</w:t>
            </w:r>
          </w:p>
          <w:p>
            <w:pPr>
              <w:pStyle w:val="CalloutBody"/>
            </w:pPr>
            <w:r>
              <w:t>Restart the mirror after changing these settings. If the geolocation service cannot be reached, an unknown public IP is not automatically allowed by the additive list; use open for explicit access where needed.</w:t>
            </w:r>
          </w:p>
        </w:tc>
        <w:trPr>
          <w:cantSplit/>
        </w:trPr>
      </w:tr>
    </w:tbl>
    <w:p>
      <w:pPr>
        <w:pStyle w:val="BodyText2026"/>
        <w:spacing w:after="0" w:before="0" w:line="120" w:lineRule="exact"/>
      </w:pPr>
    </w:p>
    <w:p>
      <w:bookmarkStart w:id="1023" w:name="_Toc900023"/>
      <w:pPr>
        <w:pStyle w:val="Heading2"/>
      </w:pPr>
      <w:r>
        <w:t>12  Production service management</w:t>
      </w:r>
      <w:bookmarkEnd w:id="1023"/>
    </w:p>
    <w:p>
      <w:pPr>
        <w:pStyle w:val="BodyText2026"/>
      </w:pPr>
      <w:r>
        <w:t>Run each long-lived command under systemd, a container supervisor, or an equivalent process manager. Reflection intentionally exits when it loses connectivity, misses required heartbeats, or detects an address change; a supervisor must restart it.</w:t>
      </w:r>
    </w:p>
    <w:p>
      <w:bookmarkStart w:id="1024" w:name="_Toc900024"/>
      <w:pPr>
        <w:pStyle w:val="Heading2"/>
      </w:pPr>
      <w:r>
        <w:t>13  Operation and validation checklist</w:t>
      </w:r>
      <w:bookmarkEnd w:id="1024"/>
    </w:p>
    <w:p>
      <w:pPr>
        <w:numPr>
          <w:ilvl w:val="0"/>
          <w:numId w:val="702"/>
        </w:numPr>
        <w:pStyle w:val="BodyText2026"/>
        <w:spacing w:after="100" w:before="20"/>
      </w:pPr>
      <w:r>
        <w:t>Check that the mirror process is running and listening on the configured control port.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>Check that each reflector process is running and that its log shows an active mirror listener and pool/channel activity.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>Test one application request through every published service port from the intended client network.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 xml:space="preserve">Review </w:t>
      </w:r>
      <w:r>
        <w:rPr>
          <w:rStyle w:val="CodeInline"/>
        </w:rPr>
        <w:t>logs/*.ndjson</w:t>
      </w:r>
      <w:r>
        <w:t xml:space="preserve"> for [access], connection errors, heartbeat failures, and firewall blocks.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 xml:space="preserve">Check disk usage under </w:t>
      </w:r>
      <w:r>
        <w:rPr>
          <w:rStyle w:val="CodeInline"/>
        </w:rPr>
        <w:t>logs/</w:t>
      </w:r>
      <w:r>
        <w:t>, particularly if traffic capture is enabled.</w:t>
      </w:r>
    </w:p>
    <w:p>
      <w:pPr>
        <w:numPr>
          <w:ilvl w:val="0"/>
          <w:numId w:val="702"/>
        </w:numPr>
        <w:pStyle w:val="BodyText2026"/>
        <w:spacing w:after="100" w:before="20"/>
      </w:pPr>
      <w:r>
        <w:t>After any secret or configuration change, restart the mirror and reflector together and repeat the end-to-end test.</w:t>
      </w:r>
    </w:p>
    <w:p>
      <w:pPr>
        <w:pStyle w:val="Lead-in"/>
      </w:pPr>
      <w:r>
        <w:t>Useful checks:</w:t>
      </w:r>
    </w:p>
    <w:p>
      <w:pPr>
        <w:pStyle w:val="CodeBlock"/>
      </w:pPr>
      <w:r>
        <w:t>ss -lntup</w:t>
      </w:r>
      <w:r>
        <w:br/>
      </w:r>
      <w:r>
        <w:t>tail -f /opt/reflection/logs/mirror_tcp.log.ndjson</w:t>
      </w:r>
      <w:r>
        <w:br/>
      </w:r>
      <w:r>
        <w:t>tail -f /opt/reflection/logs/reflector_tcp.log.ndjson</w:t>
      </w:r>
    </w:p>
    <w:p>
      <w:bookmarkStart w:id="1025" w:name="_Toc900025"/>
      <w:pPr>
        <w:pStyle w:val="Heading2"/>
      </w:pPr>
      <w:r>
        <w:t>14  Troubleshooting</w:t>
      </w:r>
      <w:bookmarkEnd w:id="1025"/>
    </w:p>
    <w:p>
      <w:pPr>
        <w:pStyle w:val="Caption"/>
      </w:pPr>
      <w:r>
        <w:rPr>
          <w:rStyle w:val="CaptionLabel"/>
        </w:rPr>
        <w:t xml:space="preserve">Table 6. </w:t>
      </w:r>
      <w:r>
        <w:t>Symptoms, likely causes, and corrective action.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80" w:type="dxa"/>
          <w:left w:w="130" w:type="dxa"/>
          <w:bottom w:w="80" w:type="dxa"/>
          <w:right w:w="130" w:type="dxa"/>
        </w:tblCellMar>
        <w:tblBorders>
          <w:top w:val="nil"/>
          <w:left w:val="nil"/>
          <w:bottom w:val="single" w:sz="8" w:space="0" w:color="0A2647"/>
          <w:right w:val="nil"/>
          <w:insideH w:val="single" w:sz="4" w:space="0" w:color="D7DDE4"/>
          <w:insideV w:val="nil"/>
        </w:tblBorders>
      </w:tblPr>
      <w:tblGrid>
        <w:gridCol w:w="3024"/>
        <w:gridCol w:w="6192"/>
      </w:tblGrid>
      <w:tr>
        <w:tc>
          <w:tcPr>
            <w:tcW w:type="dxa" w:w="3024"/>
            <w:tcW w:w="3024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Symptom</w:t>
            </w:r>
          </w:p>
        </w:tc>
        <w:tc>
          <w:tcPr>
            <w:tcW w:type="dxa" w:w="6192"/>
            <w:tcW w:w="6192" w:type="dxa"/>
            <w:vAlign w:val="center"/>
            <w:shd w:val="clear" w:color="auto" w:fill="0A2647"/>
          </w:tcPr>
          <w:p>
            <w:pPr>
              <w:pStyle w:val="TableHead"/>
            </w:pPr>
            <w:r>
              <w:t>Likely cause and action</w:t>
            </w:r>
          </w:p>
        </w:tc>
        <w:trPr>
          <w:cantSplit/>
          <w:tblHeader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Reflector cannot start listener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 xml:space="preserve">Verify mirror hostname/port, network ACLs, matching </w:t>
            </w:r>
            <w:r>
              <w:rPr>
                <w:rStyle w:val="CodeInlineSmall"/>
              </w:rPr>
              <w:t>crypt.json</w:t>
            </w:r>
            <w:r>
              <w:t>, and that the requested published port is free.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Mirror says no reflector is available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The reflector is down, cannot reach the mirror, has a key mismatch, or all TCP pool channels are allocated. Check reflector logs and raise </w:t>
            </w:r>
            <w:r>
              <w:rPr>
                <w:rStyle w:val="CodeInlineSmall"/>
              </w:rPr>
              <w:t>pool_size</w:t>
            </w:r>
            <w:r>
              <w:t xml:space="preserve"> if concurrency is expected.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Listener disappears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>The mirror closes a listener when its last reflector channel closes. Restore the reflector; supervisor restart should recreate it.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Heartbeat exits a reflector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Verify the mirror heartbeat port and matching heartbeat key. Check </w:t>
            </w:r>
            <w:r>
              <w:rPr>
                <w:rStyle w:val="CodeInlineSmall"/>
              </w:rPr>
              <w:t>heartbeat_check_interval</w:t>
            </w:r>
            <w:r>
              <w:t>, route/firewall, and the failure threshold.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Traffic reaches mirror but not origin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 xml:space="preserve">From the reflector host, test </w:t>
            </w:r>
            <w:r>
              <w:rPr>
                <w:rStyle w:val="CodeInlineSmall"/>
              </w:rPr>
              <w:t>reflected_host</w:t>
            </w:r>
            <w:r>
              <w:t>:</w:t>
            </w:r>
            <w:r>
              <w:rPr>
                <w:rStyle w:val="CodeInlineSmall"/>
              </w:rPr>
              <w:t>reflected_port</w:t>
            </w:r>
            <w:r>
              <w:t xml:space="preserve"> directly. Verify DNS, routing, and origin ACLs.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UDP has no response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>Check UDP ACLs in both directions, IPv4/IPv6 fields, cleanup timeout, and the TCP heartbeat reachability note.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Firewall blocks clients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>Confirm the firewall feature is enabled intentionally, the client source IP is correct (including NAT), and send an open command to the trusted control port.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  <w:shd w:val="clear" w:color="auto" w:fill="F6F8FA"/>
          </w:tcPr>
          <w:p>
            <w:pPr>
              <w:pStyle w:val="TableTerm"/>
            </w:pPr>
            <w:r>
              <w:t>Logs grow quickly</w:t>
            </w:r>
          </w:p>
        </w:tc>
        <w:tc>
          <w:tcPr>
            <w:tcW w:type="dxa" w:w="6192"/>
            <w:tcW w:w="6192" w:type="dxa"/>
            <w:vAlign w:val="center"/>
            <w:shd w:val="clear" w:color="auto" w:fill="F6F8FA"/>
          </w:tcPr>
          <w:p>
            <w:pPr>
              <w:pStyle w:val="TableText"/>
            </w:pPr>
            <w:r>
              <w:t xml:space="preserve">Disable traffic logger/recorder, reduce debug logging, rotate </w:t>
            </w:r>
            <w:r>
              <w:rPr>
                <w:rStyle w:val="CodeInlineSmall"/>
              </w:rPr>
              <w:t>logs/</w:t>
            </w:r>
            <w:r>
              <w:t>, and review data-retention obligations.</w:t>
            </w:r>
          </w:p>
        </w:tc>
        <w:trPr>
          <w:cantSplit/>
        </w:trPr>
      </w:tr>
      <w:tr>
        <w:tc>
          <w:tcPr>
            <w:tcW w:type="dxa" w:w="3024"/>
            <w:tcW w:w="3024" w:type="dxa"/>
            <w:vAlign w:val="center"/>
          </w:tcPr>
          <w:p>
            <w:pPr>
              <w:pStyle w:val="TableTerm"/>
            </w:pPr>
            <w:r>
              <w:t>Service continuously restarts</w:t>
            </w:r>
          </w:p>
        </w:tc>
        <w:tc>
          <w:tcPr>
            <w:tcW w:type="dxa" w:w="6192"/>
            <w:tcW w:w="6192" w:type="dxa"/>
            <w:vAlign w:val="center"/>
          </w:tcPr>
          <w:p>
            <w:pPr>
              <w:pStyle w:val="TableText"/>
            </w:pPr>
            <w:r>
              <w:t xml:space="preserve">Inspect the application log first. Common causes are unavailable mirror/origin, interface changes with </w:t>
            </w:r>
            <w:r>
              <w:rPr>
                <w:rStyle w:val="CodeInlineSmall"/>
              </w:rPr>
              <w:t>dhcp_check</w:t>
            </w:r>
            <w:r>
              <w:t>, zero TCP channels beyond the configured wait, and conflicting ports.</w:t>
            </w:r>
          </w:p>
        </w:tc>
        <w:trPr>
          <w:cantSplit/>
        </w:trPr>
      </w:tr>
    </w:tbl>
    <w:p>
      <w:pPr>
        <w:pStyle w:val="BodyText2026"/>
        <w:spacing w:after="0" w:line="160" w:lineRule="exact"/>
      </w:pPr>
    </w:p>
    <w:sectPr w:rsidR="00FC693F" w:rsidRPr="0006063C" w:rsidSect="00034616">
      <w:headerReference w:type="default" r:id="rId34"/>
      <w:footerReference w:type="default" r:id="rId35"/>
      <w:pgSz w:w="12240" w:h="15840"/>
      <w:pgMar w:top="1368" w:right="1512" w:bottom="1224" w:left="1512" w:header="720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>Reflection  |  Client Handover Manual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>Reflection  |  Client Handover Manual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>Reflection  |  Client Handover Manual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>Client Handover Manual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>Part I  ·  Deployment &amp; Installation Guide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>Part II  ·  Administrator &amp;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0">
    <w:multiLevelType w:val="hybridMultilevel"/>
    <w:lvl w:ilvl="0">
      <w:start w:val="1"/>
      <w:numFmt w:val="bullet"/>
      <w:lvlText w:val="•"/>
      <w:lvlJc w:val="left"/>
      <w:pPr>
        <w:ind w:left="288" w:hanging="216"/>
      </w:pPr>
      <w:rPr>
        <w:rFonts w:ascii="Calibri" w:hAnsi="Calibri" w:hint="default"/>
        <w:color w:val="0E7C78"/>
      </w:rPr>
    </w:lvl>
    <w:lvl w:ilvl="1">
      <w:start w:val="1"/>
      <w:numFmt w:val="bullet"/>
      <w:lvlText w:val="–"/>
      <w:lvlJc w:val="left"/>
      <w:pPr>
        <w:ind w:left="605" w:hanging="202"/>
      </w:pPr>
      <w:rPr>
        <w:rFonts w:ascii="Calibri" w:hAnsi="Calibri" w:hint="default"/>
        <w:color w:val="5C6672"/>
      </w:rPr>
    </w:lvl>
    <w:lvl w:ilvl="2">
      <w:start w:val="1"/>
      <w:numFmt w:val="bullet"/>
      <w:lvlText w:val="•"/>
      <w:lvlJc w:val="left"/>
      <w:pPr>
        <w:ind w:left="922" w:hanging="202"/>
      </w:pPr>
      <w:rPr>
        <w:rFonts w:ascii="Calibri" w:hAnsi="Calibri" w:hint="default"/>
        <w:color w:val="5C6672"/>
      </w:rPr>
    </w:lvl>
  </w:abstractNum>
  <w:abstractNum w:abstractNumId="701">
    <w:multiLevelType w:val="hybridMultilevel"/>
    <w:lvl w:ilvl="0">
      <w:start w:val="1"/>
      <w:numFmt w:val="decimal"/>
      <w:lvlText w:val="%1."/>
      <w:lvlJc w:val="left"/>
      <w:pPr>
        <w:ind w:left="331" w:hanging="331"/>
      </w:pPr>
      <w:rPr>
        <w:rFonts w:ascii="Calibri" w:hAnsi="Calibri"/>
        <w:b w:val="1"/>
        <w:color w:val="0A2647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ascii="Calibri" w:hAnsi="Calibri"/>
        <w:b w:val="1"/>
        <w:color w:val="0A2647"/>
      </w:rPr>
    </w:lvl>
  </w:abstractNum>
  <w:abstractNum w:abstractNumId="702">
    <w:multiLevelType w:val="hybridMultilevel"/>
    <w:lvl w:ilvl="0">
      <w:start w:val="1"/>
      <w:numFmt w:val="bullet"/>
      <w:lvlText w:val=""/>
      <w:lvlJc w:val="left"/>
      <w:pPr>
        <w:ind w:left="302" w:hanging="230"/>
      </w:pPr>
      <w:rPr>
        <w:rFonts w:ascii="Wingdings" w:hAnsi="Wingdings" w:hint="default"/>
        <w:color w:val="0A2647"/>
        <w:sz w:val="20"/>
      </w:rPr>
    </w:lvl>
  </w:abstractNum>
  <w:abstractNum w:abstractNumId="703">
    <w:multiLevelType w:val="hybridMultilevel"/>
    <w:lvl w:ilvl="0">
      <w:start w:val="1"/>
      <w:numFmt w:val="bullet"/>
      <w:lvlText w:val="–"/>
      <w:lvlJc w:val="left"/>
      <w:pPr>
        <w:ind w:left="288" w:hanging="216"/>
      </w:pPr>
      <w:rPr>
        <w:rFonts w:ascii="Calibri" w:hAnsi="Calibri" w:hint="default"/>
        <w:color w:val="5C667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1"/>
    <w:lvlOverride w:ilvl="0">
      <w:startOverride w:val="1"/>
    </w:lvlOverride>
  </w:num>
  <w:num w:numId="705">
    <w:abstractNumId w:val="7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14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120" w:line="240" w:lineRule="auto" w:before="0"/>
      <w:ind w:left="0" w:right="0"/>
      <w:pBdr>
        <w:bottom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  <w:spacing w:val="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 w:before="120"/>
      <w:ind w:left="0" w:right="0"/>
      <w:pBdr>
        <w:top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00" w:line="240" w:lineRule="auto"/>
      <w:ind w:left="0" w:right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54"/>
      <w:szCs w:val="28"/>
      <w:spacing w:val="-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400" w:after="160" w:line="252" w:lineRule="auto"/>
      <w:ind w:left="0" w:right="0"/>
      <w:outlineLvl w:val="1"/>
      <w:pBdr>
        <w:top w:val="single" w:sz="6" w:space="10" w:color="0E7C78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34"/>
      <w:szCs w:val="26"/>
      <w:spacing w:val="-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80" w:after="100" w:line="264" w:lineRule="auto"/>
      <w:ind w:left="0" w:right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D3E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20" w:after="60"/>
      <w:ind w:left="0" w:right="0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iCs/>
      <w:color w:val="1D3E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spacing w:before="0" w:after="80" w:line="278" w:lineRule="auto"/>
      <w:ind w:left="0" w:right="0"/>
      <w:contextualSpacing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keepLines/>
      <w:pageBreakBefore w:val="0"/>
      <w:spacing w:line="276" w:lineRule="auto" w:before="240" w:after="100"/>
      <w:ind w:left="0" w:right="0"/>
    </w:pPr>
    <w:rPr>
      <w:rFonts w:ascii="Calibri" w:hAnsi="Calibri" w:cs="Calibri" w:eastAsia="Calibri"/>
      <w:b w:val="0"/>
      <w:bCs/>
      <w:i w:val="0"/>
      <w:color w:val="5C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2026">
    <w:name w:val="Body Text 2026"/>
    <w:basedOn w:val="Normal"/>
    <w:qFormat/>
    <w:pPr>
      <w:keepNext w:val="0"/>
      <w:keepLines w:val="0"/>
      <w:pageBreakBefore w:val="0"/>
      <w:spacing w:before="0" w:after="16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Lead-in">
    <w:name w:val="Lead-in"/>
    <w:basedOn w:val="Normal"/>
    <w:qFormat/>
    <w:pPr>
      <w:keepNext/>
      <w:keepLines w:val="0"/>
      <w:pageBreakBefore w:val="0"/>
      <w:spacing w:before="0" w:after="8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verTitle">
    <w:name w:val="Cover Title"/>
    <w:qFormat/>
    <w:pPr>
      <w:keepNext w:val="0"/>
      <w:keepLines w:val="0"/>
      <w:pageBreakBefore w:val="0"/>
      <w:spacing w:before="0" w:after="120" w:line="240" w:lineRule="auto"/>
      <w:ind w:left="0" w:right="0"/>
      <w:jc w:val="center"/>
    </w:pPr>
    <w:rPr>
      <w:rFonts w:ascii="Calibri" w:hAnsi="Calibri" w:cs="Calibri" w:eastAsia="Calibri"/>
      <w:b/>
      <w:i w:val="0"/>
      <w:color w:val="0A2647"/>
      <w:sz w:val="60"/>
      <w:caps w:val="1"/>
      <w:spacing w:val="8"/>
    </w:rPr>
  </w:style>
  <w:style w:type="paragraph" w:customStyle="1" w:styleId="CoverSubtitle">
    <w:name w:val="Cover Subtitle"/>
    <w:qFormat/>
    <w:pPr>
      <w:keepNext w:val="0"/>
      <w:keepLines w:val="0"/>
      <w:pageBreakBefore w:val="0"/>
      <w:spacing w:before="0" w:after="40" w:line="300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verRule">
    <w:name w:val="Cover Rule"/>
    <w:qFormat/>
    <w:pPr>
      <w:keepNext w:val="0"/>
      <w:keepLines w:val="0"/>
      <w:pageBreakBefore w:val="0"/>
      <w:spacing w:before="200" w:after="280" w:line="240" w:lineRule="auto"/>
      <w:ind w:left="0" w:right="0"/>
      <w:jc w:val="center"/>
      <w:pBdr>
        <w:bottom w:val="single" w:sz="18" w:space="1" w:color="0E7C78"/>
      </w:pBdr>
    </w:pPr>
    <w:rPr>
      <w:rFonts w:ascii="Calibri" w:hAnsi="Calibri" w:cs="Calibri" w:eastAsia="Calibri"/>
      <w:b w:val="0"/>
      <w:i w:val="0"/>
      <w:color w:val="22282F"/>
      <w:sz w:val="4"/>
    </w:rPr>
  </w:style>
  <w:style w:type="paragraph" w:customStyle="1" w:styleId="FigureImage">
    <w:name w:val="Figure Image"/>
    <w:qFormat/>
    <w:pPr>
      <w:keepNext/>
      <w:keepLines w:val="0"/>
      <w:pageBreakBefore w:val="0"/>
      <w:spacing w:before="120" w:after="80" w:line="240" w:lineRule="auto"/>
      <w:ind w:left="0" w:right="0"/>
      <w:jc w:val="center"/>
    </w:pPr>
  </w:style>
  <w:style w:type="paragraph" w:customStyle="1" w:styleId="PartLabel">
    <w:name w:val="Part Label"/>
    <w:qFormat/>
    <w:pPr>
      <w:keepNext w:val="0"/>
      <w:keepLines w:val="0"/>
      <w:pageBreakBefore w:val="0"/>
      <w:spacing w:before="0" w:after="120" w:line="240" w:lineRule="auto"/>
      <w:ind w:left="0" w:right="0"/>
    </w:pPr>
    <w:rPr>
      <w:rFonts w:ascii="Calibri" w:hAnsi="Calibri" w:cs="Calibri" w:eastAsia="Calibri"/>
      <w:b/>
      <w:i w:val="0"/>
      <w:color w:val="0E7C78"/>
      <w:sz w:val="22"/>
      <w:caps w:val="1"/>
      <w:spacing w:val="44"/>
    </w:rPr>
  </w:style>
  <w:style w:type="paragraph" w:customStyle="1" w:styleId="PartSummary">
    <w:name w:val="Part Summary"/>
    <w:qFormat/>
    <w:pPr>
      <w:keepNext w:val="0"/>
      <w:keepLines w:val="0"/>
      <w:pageBreakBefore w:val="0"/>
      <w:spacing w:before="120" w:after="80" w:line="312" w:lineRule="auto"/>
      <w:ind w:left="0" w:right="0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deBlock">
    <w:name w:val="Code Block"/>
    <w:qFormat/>
    <w:pPr>
      <w:keepNext w:val="0"/>
      <w:keepLines/>
      <w:pageBreakBefore w:val="0"/>
      <w:spacing w:before="140" w:after="180" w:line="288" w:lineRule="auto"/>
      <w:ind w:left="245" w:right="86"/>
      <w:shd w:val="clear" w:color="auto" w:fill="F5F7FA"/>
      <w:pBdr>
        <w:top w:val="single" w:sz="4" w:space="6" w:color="E1E7EE"/>
        <w:left w:val="single" w:sz="24" w:space="8" w:color="0E7C78"/>
        <w:bottom w:val="single" w:sz="4" w:space="6" w:color="E1E7EE"/>
        <w:right w:val="single" w:sz="4" w:space="6" w:color="E1E7EE"/>
      </w:pBdr>
    </w:pPr>
    <w:rPr>
      <w:rFonts w:ascii="Consolas" w:hAnsi="Consolas" w:cs="Consolas" w:eastAsia="Consolas"/>
      <w:b w:val="0"/>
      <w:i w:val="0"/>
      <w:color w:val="1B2733"/>
      <w:sz w:val="17"/>
    </w:rPr>
  </w:style>
  <w:style w:type="character" w:customStyle="1" w:styleId="CodeInline">
    <w:name w:val="Code Inline"/>
    <w:qFormat/>
    <w:rPr>
      <w:rFonts w:ascii="Consolas" w:hAnsi="Consolas" w:cs="Consolas" w:eastAsia="Consolas"/>
      <w:b w:val="0"/>
      <w:i w:val="0"/>
      <w:color w:val="1D3E63"/>
      <w:sz w:val="18"/>
    </w:rPr>
  </w:style>
  <w:style w:type="character" w:customStyle="1" w:styleId="CodeInlineSmall">
    <w:name w:val="Code Inline Small"/>
    <w:qFormat/>
    <w:rPr>
      <w:rFonts w:ascii="Consolas" w:hAnsi="Consolas" w:cs="Consolas" w:eastAsia="Consolas"/>
      <w:b w:val="0"/>
      <w:i w:val="0"/>
      <w:color w:val="1D3E63"/>
      <w:sz w:val="16"/>
    </w:rPr>
  </w:style>
  <w:style w:type="character" w:customStyle="1" w:styleId="KeyTerm">
    <w:name w:val="Key Term"/>
    <w:qFormat/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CaptionBelow">
    <w:name w:val="Caption Below"/>
    <w:basedOn w:val="Caption"/>
    <w:qFormat/>
    <w:pPr>
      <w:keepNext w:val="0"/>
      <w:keepLines/>
      <w:pageBreakBefore w:val="0"/>
      <w:spacing w:before="100" w:after="240" w:line="276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18"/>
    </w:rPr>
  </w:style>
  <w:style w:type="character" w:customStyle="1" w:styleId="CaptionLabel">
    <w:name w:val="Caption Label"/>
    <w:qFormat/>
    <w:rPr>
      <w:rFonts w:ascii="Calibri" w:hAnsi="Calibri" w:cs="Calibri" w:eastAsia="Calibri"/>
      <w:b/>
      <w:i w:val="0"/>
      <w:color w:val="0A2647"/>
      <w:sz w:val="18"/>
    </w:rPr>
  </w:style>
  <w:style w:type="paragraph" w:customStyle="1" w:styleId="FlowDiagram">
    <w:name w:val="Flow Diagram"/>
    <w:qFormat/>
    <w:pPr>
      <w:keepNext/>
      <w:keepLines/>
      <w:pageBreakBefore w:val="0"/>
      <w:spacing w:before="160" w:after="40" w:line="312" w:lineRule="auto"/>
      <w:ind w:left="0" w:right="0"/>
      <w:jc w:val="center"/>
      <w:shd w:val="clear" w:color="auto" w:fill="F4F7FA"/>
      <w:pBdr>
        <w:top w:val="single" w:sz="4" w:space="10" w:color="D7DDE4"/>
        <w:left w:val="single" w:sz="4" w:space="10" w:color="D7DDE4"/>
        <w:bottom w:val="single" w:sz="4" w:space="10" w:color="D7DDE4"/>
        <w:right w:val="single" w:sz="4" w:space="10" w:color="D7DDE4"/>
      </w:pBdr>
    </w:pPr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TableText">
    <w:name w:val="Table Text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 w:val="0"/>
      <w:i w:val="0"/>
      <w:color w:val="22282F"/>
      <w:sz w:val="19"/>
    </w:rPr>
  </w:style>
  <w:style w:type="paragraph" w:customStyle="1" w:styleId="TableHead">
    <w:name w:val="Table Head"/>
    <w:qFormat/>
    <w:pPr>
      <w:keepNext/>
      <w:keepLines w:val="0"/>
      <w:pageBreakBefore w:val="0"/>
      <w:spacing w:before="80" w:after="80" w:line="252" w:lineRule="auto"/>
      <w:ind w:left="0" w:right="0"/>
    </w:pPr>
    <w:rPr>
      <w:rFonts w:ascii="Calibri" w:hAnsi="Calibri" w:cs="Calibri" w:eastAsia="Calibri"/>
      <w:b/>
      <w:i w:val="0"/>
      <w:color w:val="FFFFFF"/>
      <w:sz w:val="19"/>
    </w:rPr>
  </w:style>
  <w:style w:type="paragraph" w:customStyle="1" w:styleId="TableTerm">
    <w:name w:val="Table Term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/>
      <w:i w:val="0"/>
      <w:color w:val="0A2647"/>
      <w:sz w:val="19"/>
    </w:rPr>
  </w:style>
  <w:style w:type="paragraph" w:customStyle="1" w:styleId="TableKey">
    <w:name w:val="Table Key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onsolas" w:hAnsi="Consolas" w:cs="Consolas" w:eastAsia="Consolas"/>
      <w:b/>
      <w:i w:val="0"/>
      <w:color w:val="0A2647"/>
      <w:sz w:val="16"/>
    </w:rPr>
  </w:style>
  <w:style w:type="paragraph" w:customStyle="1" w:styleId="CalloutLabel">
    <w:name w:val="Callout Label"/>
    <w:qFormat/>
    <w:pPr>
      <w:keepNext/>
      <w:keepLines w:val="0"/>
      <w:pageBreakBefore w:val="0"/>
      <w:spacing w:before="20" w:after="60" w:line="240" w:lineRule="auto"/>
      <w:ind w:left="0" w:right="0"/>
    </w:pPr>
    <w:rPr>
      <w:rFonts w:ascii="Calibri" w:hAnsi="Calibri" w:cs="Calibri" w:eastAsia="Calibri"/>
      <w:b/>
      <w:i w:val="0"/>
      <w:color w:val="1D3E63"/>
      <w:sz w:val="17"/>
      <w:caps w:val="1"/>
      <w:spacing w:val="24"/>
    </w:rPr>
  </w:style>
  <w:style w:type="paragraph" w:customStyle="1" w:styleId="CalloutBody">
    <w:name w:val="Callout Body"/>
    <w:qFormat/>
    <w:pPr>
      <w:keepNext w:val="0"/>
      <w:keepLines w:val="0"/>
      <w:pageBreakBefore w:val="0"/>
      <w:spacing w:before="0" w:after="20" w:line="276" w:lineRule="auto"/>
      <w:ind w:left="0" w:right="0"/>
    </w:pPr>
    <w:rPr>
      <w:rFonts w:ascii="Calibri" w:hAnsi="Calibri" w:cs="Calibri" w:eastAsia="Calibri"/>
      <w:b w:val="0"/>
      <w:i w:val="0"/>
      <w:color w:val="22282F"/>
      <w:sz w:val="20"/>
    </w:rPr>
  </w:style>
  <w:style w:type="paragraph" w:customStyle="1" w:styleId="TOCHeadingRef">
    <w:name w:val="TOC Heading Ref"/>
    <w:qFormat/>
  </w:style>
  <w:style w:type="paragraph" w:customStyle="1" w:styleId="TOC1">
    <w:name w:val="TOC 1"/>
    <w:basedOn w:val="Normal"/>
    <w:qFormat/>
    <w:pPr>
      <w:keepNext w:val="0"/>
      <w:keepLines w:val="0"/>
      <w:pageBreakBefore w:val="0"/>
      <w:spacing w:before="240" w:after="60" w:line="264" w:lineRule="auto"/>
      <w:ind w:left="0" w:right="0"/>
      <w:tabs>
        <w:tab w:val="right" w:leader="dot" w:pos="9180"/>
      </w:tabs>
    </w:pPr>
    <w:rPr>
      <w:rFonts w:ascii="Calibri" w:hAnsi="Calibri" w:cs="Calibri" w:eastAsia="Calibri"/>
      <w:b/>
      <w:i w:val="0"/>
      <w:color w:val="0A2647"/>
      <w:sz w:val="23"/>
    </w:rPr>
  </w:style>
  <w:style w:type="paragraph" w:customStyle="1" w:styleId="TOC2">
    <w:name w:val="TOC 2"/>
    <w:basedOn w:val="Normal"/>
    <w:qFormat/>
    <w:pPr>
      <w:keepNext w:val="0"/>
      <w:keepLines w:val="0"/>
      <w:pageBreakBefore w:val="0"/>
      <w:spacing w:before="60" w:after="40" w:line="264" w:lineRule="auto"/>
      <w:ind w:left="259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TOC3">
    <w:name w:val="TOC 3"/>
    <w:basedOn w:val="Normal"/>
    <w:qFormat/>
    <w:pPr>
      <w:keepNext w:val="0"/>
      <w:keepLines w:val="0"/>
      <w:pageBreakBefore w:val="0"/>
      <w:spacing w:before="20" w:after="20" w:line="264" w:lineRule="auto"/>
      <w:ind w:left="662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5C6672"/>
      <w:sz w:val="19"/>
    </w:rPr>
  </w:style>
  <w:style w:type="character" w:customStyle="1" w:styleId="TocLink">
    <w:name w:val="TocLink"/>
    <w:qFormat/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ntentsHead">
    <w:name w:val="Contents Head"/>
    <w:basedOn w:val="Normal"/>
    <w:pPr>
      <w:keepNext/>
      <w:keepLines w:val="0"/>
      <w:pageBreakBefore w:val="0"/>
      <w:spacing w:before="0" w:after="200"/>
      <w:ind w:left="0" w:right="0"/>
      <w:pBdr>
        <w:bottom w:val="single" w:sz="6" w:space="8" w:color="0E7C78"/>
      </w:pBdr>
    </w:pPr>
    <w:rPr>
      <w:rFonts w:ascii="Calibri" w:hAnsi="Calibri" w:cs="Calibri" w:eastAsia="Calibri"/>
      <w:b/>
      <w:i w:val="0"/>
      <w:color w:val="0A2647"/>
      <w:sz w:val="34"/>
      <w:spacing w:val="-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header" Target="header6.xml"/><Relationship Id="rId23" Type="http://schemas.openxmlformats.org/officeDocument/2006/relationships/footer" Target="footer6.xml"/><Relationship Id="rId24" Type="http://schemas.openxmlformats.org/officeDocument/2006/relationships/header" Target="header7.xml"/><Relationship Id="rId25" Type="http://schemas.openxmlformats.org/officeDocument/2006/relationships/footer" Target="footer7.xml"/><Relationship Id="rId26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Relationship Id="rId30" Type="http://schemas.openxmlformats.org/officeDocument/2006/relationships/header" Target="header10.xml"/><Relationship Id="rId31" Type="http://schemas.openxmlformats.org/officeDocument/2006/relationships/footer" Target="footer10.xml"/><Relationship Id="rId32" Type="http://schemas.openxmlformats.org/officeDocument/2006/relationships/header" Target="header11.xml"/><Relationship Id="rId33" Type="http://schemas.openxmlformats.org/officeDocument/2006/relationships/footer" Target="footer11.xml"/><Relationship Id="rId34" Type="http://schemas.openxmlformats.org/officeDocument/2006/relationships/header" Target="header12.xml"/><Relationship Id="rId35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— Client Handover Manual</dc:title>
  <dc:subject>Reflection deployment, installation and administration</dc:subject>
  <dc:creator>Tekmonks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>Product manual</cp:category>
</cp:coreProperties>
</file>