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mc:Ignorable="w14 wp14">
  <w:body>
    <w:p>
      <w:pPr>
        <w:spacing w:before="0" w:after="0" w:line="240" w:lineRule="auto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17" name="White cover ar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White cover artwork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right" w:pos="9216"/>
        </w:tabs>
        <w:spacing w:before="200" w:after="0" w:line="240" w:lineRule="auto"/>
      </w:pPr>
      <w:r>
        <w:rPr>
          <w:noProof/>
        </w:rPr>
        <w:drawing>
          <wp:inline distT="0" distB="0" distL="0" distR="0">
            <wp:extent cx="868680" cy="449610"/>
            <wp:effectExtent l="0" t="0" r="0" b="0"/>
            <wp:docPr id="1019" name="Tekmo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Tekmonks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44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color w:val="5C6672"/>
          <w:sz w:val="15"/>
          <w:caps w:val="1"/>
          <w:spacing w:val="18"/>
        </w:rPr>
        <w:t xml:space="preserve">Administrator &amp; Operations Manual</w:t>
      </w:r>
    </w:p>
    <w:p>
      <w:pPr>
        <w:spacing w:before="0" w:after="1150" w:line="240" w:lineRule="auto"/>
      </w:pPr>
    </w:p>
    <w:p>
      <w:pPr>
        <w:spacing w:before="0" w:after="120" w:line="240" w:lineRule="auto"/>
        <w:jc w:val="center"/>
      </w:pPr>
      <w:r>
        <w:rPr>
          <w:noProof/>
        </w:rPr>
        <w:drawing>
          <wp:inline distT="0" distB="0" distL="0" distR="0">
            <wp:extent cx="1188720" cy="1417320"/>
            <wp:effectExtent l="0" t="0" r="0" b="0"/>
            <wp:docPr id="1021" nam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Reflection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b/>
          <w:color w:val="0A2647"/>
          <w:sz w:val="38"/>
        </w:rPr>
        <w:t xml:space="preserve">Reflecti</w:t>
      </w:r>
      <w:r>
        <w:rPr>
          <w:b/>
          <w:color w:val="0E7C78"/>
          <w:sz w:val="38"/>
        </w:rPr>
        <w:t xml:space="preserve">o</w:t>
      </w:r>
      <w:r>
        <w:rPr>
          <w:b/>
          <w:color w:val="0A2647"/>
          <w:sz w:val="38"/>
        </w:rPr>
        <w:t xml:space="preserve">n</w:t>
      </w:r>
    </w:p>
    <w:p>
      <w:pPr>
        <w:pStyle w:val="CoverRule"/>
        <w:spacing w:before="240" w:after="260"/>
      </w:pPr>
    </w:p>
    <w:p>
      <w:pPr>
        <w:spacing w:before="0" w:after="0" w:line="240" w:lineRule="auto"/>
        <w:jc w:val="center"/>
      </w:pPr>
      <w:r>
        <w:rPr>
          <w:b/>
          <w:color w:val="0A2647"/>
          <w:sz w:val="58"/>
          <w:caps w:val="1"/>
          <w:spacing w:val="10"/>
        </w:rPr>
        <w:t xml:space="preserve">Administrator &amp;</w:t>
      </w:r>
    </w:p>
    <w:p>
      <w:pPr>
        <w:spacing w:before="0" w:after="300" w:line="240" w:lineRule="auto"/>
        <w:jc w:val="center"/>
      </w:pPr>
      <w:r>
        <w:rPr>
          <w:b/>
          <w:color w:val="0A2647"/>
          <w:sz w:val="58"/>
          <w:caps w:val="1"/>
          <w:spacing w:val="10"/>
        </w:rPr>
        <w:t xml:space="preserve">Operations Manual</w:t>
      </w:r>
    </w:p>
    <w:p>
      <w:pPr>
        <w:spacing w:before="0" w:after="0" w:line="240" w:lineRule="auto"/>
        <w:jc w:val="center"/>
      </w:pPr>
      <w:r>
        <w:rPr>
          <w:color w:val="0E7C78"/>
          <w:sz w:val="21"/>
          <w:caps w:val="1"/>
          <w:spacing w:val="48"/>
        </w:rPr>
        <w:t xml:space="preserve">Part II  ·  Version 1.0</w:t>
      </w:r>
    </w:p>
    <w:p>
      <w:pPr>
        <w:spacing w:before="0" w:after="800" w:line="240" w:lineRule="auto"/>
      </w:pPr>
    </w:p>
    <w:p>
      <w:pPr>
        <w:spacing w:before="0" w:after="0" w:line="260" w:lineRule="auto"/>
        <w:jc w:val="center"/>
      </w:pPr>
      <w:r>
        <w:rPr>
          <w:color w:val="5C6672"/>
          <w:sz w:val="20"/>
        </w:rPr>
        <w:t xml:space="preserve">Configuration reference · Extensions · Firewall control</w:t>
      </w:r>
    </w:p>
    <w:p>
      <w:pPr>
        <w:spacing w:before="0" w:after="0" w:line="260" w:lineRule="auto"/>
        <w:jc w:val="center"/>
      </w:pPr>
      <w:r>
        <w:rPr>
          <w:color w:val="5C6672"/>
          <w:sz w:val="20"/>
        </w:rPr>
        <w:t xml:space="preserve">Production management · Daily operations · Troubleshooting</w:t>
      </w:r>
    </w:p>
    <w:p>
      <w:pPr>
        <w:spacing w:before="0" w:after="0" w:line="260" w:lineRule="auto"/>
        <w:jc w:val="center"/>
      </w:pPr>
      <w:r>
        <w:rPr>
          <w:color w:val="5C6672"/>
          <w:sz w:val="20"/>
        </w:rPr>
        <w:t xml:space="preserve">Handover acceptance record</w:t>
      </w:r>
    </w:p>
    <w:p>
      <w:pPr>
        <w:spacing w:before="0" w:after="1320" w:line="240" w:lineRule="auto"/>
      </w:pPr>
    </w:p>
    <w:p>
      <w:pPr>
        <w:tabs>
          <w:tab w:val="right" w:pos="9216"/>
        </w:tabs>
        <w:spacing w:before="0" w:after="0" w:line="240" w:lineRule="auto"/>
        <w:sectPr>
          <w:headerReference w:type="default" r:id="rId12"/>
          <w:footerReference w:type="default" r:id="rId13"/>
          <w:pgSz w:w="12240" w:h="15840"/>
          <w:pgMar w:top="1440" w:right="1440" w:bottom="1080" w:left="1440" w:header="0" w:footer="0" w:gutter="0"/>
          <w:cols w:space="720"/>
          <w:docGrid w:linePitch="360"/>
        </w:sectPr>
      </w:pPr>
      <w:r>
        <w:rPr>
          <w:b/>
          <w:color w:val="0A2647"/>
          <w:sz w:val="19"/>
          <w:caps w:val="1"/>
          <w:spacing w:val="52"/>
        </w:rPr>
        <w:t xml:space="preserve">Tekmonks</w:t>
      </w:r>
      <w:r>
        <w:tab/>
      </w:r>
      <w:r>
        <w:rPr>
          <w:color w:val="5C6672"/>
          <w:sz w:val="19"/>
          <w:caps w:val="1"/>
          <w:spacing w:val="52"/>
        </w:rPr>
        <w:t xml:space="preserve">Reflection</w:t>
      </w:r>
    </w:p>
    <w:p>
      <w:bookmarkStart w:id="1015" w:name="_Toc900015"/>
      <w:pPr>
        <w:pStyle w:val="Heading2"/>
        <w:pBdr>
          <w:top w:val="nil"/>
        </w:pBdr>
        <w:spacing w:before="40"/>
      </w:pPr>
      <w:r>
        <w:t>9  Configuration reference</w:t>
      </w:r>
      <w:bookmarkEnd w:id="1015"/>
    </w:p>
    <w:p>
      <w:bookmarkStart w:id="1016" w:name="_Toc900016"/>
      <w:pPr>
        <w:pStyle w:val="Heading3"/>
      </w:pPr>
      <w:r>
        <w:t xml:space="preserve">9.1  </w:t>
      </w:r>
      <w:r>
        <w:rPr>
          <w:rStyle w:val="KeyTerm"/>
        </w:rPr>
        <w:t>conf/reflect.json</w:t>
      </w:r>
      <w:bookmarkEnd w:id="1016"/>
    </w:p>
    <w:p>
      <w:pPr>
        <w:pStyle w:val="Caption"/>
      </w:pPr>
      <w:r>
        <w:rPr>
          <w:rStyle w:val="CaptionLabel"/>
        </w:rPr>
        <w:t xml:space="preserve">Table 3. </w:t>
      </w:r>
      <w:r>
        <w:t>Reflector configuration keys.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3715"/>
        <w:gridCol w:w="5500"/>
      </w:tblGrid>
      <w:tr>
        <w:tc>
          <w:tcPr>
            <w:tcW w:type="dxa" w:w="3715"/>
            <w:tcW w:w="3715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Key</w:t>
            </w:r>
          </w:p>
        </w:tc>
        <w:tc>
          <w:tcPr>
            <w:tcW w:type="dxa" w:w="5500"/>
            <w:tcW w:w="5500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Meaning</w:t>
            </w:r>
          </w:p>
        </w:tc>
        <w:trPr>
          <w:cantSplit/>
          <w:tblHeader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reflected_host</w:t>
            </w:r>
            <w:r>
              <w:rPr>
                <w:color w:val="5C6672"/>
              </w:rPr>
              <w:t>,</w:t>
            </w:r>
            <w:r>
              <w:br/>
            </w:r>
            <w:r>
              <w:t>reflected_port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Origin address and port, reachable by the reflector.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mirror_host</w:t>
            </w:r>
            <w:r>
              <w:rPr>
                <w:color w:val="5C6672"/>
              </w:rPr>
              <w:t>,</w:t>
            </w:r>
            <w:r>
              <w:br/>
            </w:r>
            <w:r>
              <w:t>mirror_port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Mirror TCP control/data endpoint.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mirror_hostudpv4</w:t>
            </w:r>
            <w:r>
              <w:rPr>
                <w:color w:val="5C6672"/>
              </w:rPr>
              <w:t>,</w:t>
            </w:r>
            <w:r>
              <w:br/>
            </w:r>
            <w:r>
              <w:t>mirror_hostudpv6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UDP mirror addresses.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mirror_heartbeat_tcp</w:t>
            </w:r>
            <w:r>
              <w:rPr>
                <w:color w:val="5C6672"/>
              </w:rPr>
              <w:t>,</w:t>
            </w:r>
            <w:r>
              <w:br/>
            </w:r>
            <w:r>
              <w:t>mirror_heartbeat_udp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Mirror heartbeat ports.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mirror_service_host</w:t>
            </w:r>
            <w:r>
              <w:rPr>
                <w:color w:val="5C6672"/>
              </w:rPr>
              <w:t>,</w:t>
            </w:r>
            <w:r>
              <w:br/>
            </w:r>
            <w:r>
              <w:t>mirror_service_port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TCP public bind address and port created on the mirror.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mirror_service_host_udpv4</w:t>
            </w:r>
            <w:r>
              <w:rPr>
                <w:color w:val="5C6672"/>
              </w:rPr>
              <w:t>,</w:t>
            </w:r>
            <w:r>
              <w:br/>
            </w:r>
            <w:r>
              <w:t>mirror_service_host_udpv6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UDP public bind addresses.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mirror_force_listener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Replaces an existing listener for the mapping when true; avoid sharing a published port between reflectors.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pool_size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Idle TCP channel count / per-mapping concurrency ceiling.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mirror_connect_timeout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Control/UDP connection timeout in milliseconds.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heartbeat_check_interval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Heartbeat interval in milliseconds.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mirror_heartbeats_lost_for_exit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Consecutive failed beats tolerated before exit; supervisor should restart it.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dhcp_check</w:t>
            </w:r>
            <w:r>
              <w:rPr>
                <w:color w:val="5C6672"/>
              </w:rPr>
              <w:t>,</w:t>
            </w:r>
            <w:r>
              <w:br/>
            </w:r>
            <w:r>
              <w:t>dhcp_check_interval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Exits when non-internal network interface addresses change; enable when a supervisor will restart after address changes.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reflector_channel_check_wait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Exit if the TCP channel pool is empty longer than this many milliseconds.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keep_alive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TCP keepalive delay in milliseconds; use -1 to skip.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ipv6enabled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Enables UDP IPv6 socket use.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udp_cleanup_interval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Idle UDP mapping cleanup time in milliseconds; -1 means no cleanup.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logfile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 xml:space="preserve">TCP reflector log filename below </w:t>
            </w:r>
            <w:r>
              <w:rPr>
                <w:rStyle w:val="CodeInlineSmall"/>
              </w:rPr>
              <w:t>logs/</w:t>
            </w:r>
            <w:r>
              <w:t>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bookmarkStart w:id="1017" w:name="_Toc900017"/>
      <w:pPr>
        <w:pStyle w:val="Heading3"/>
      </w:pPr>
      <w:r>
        <w:t xml:space="preserve">9.2  </w:t>
      </w:r>
      <w:r>
        <w:rPr>
          <w:rStyle w:val="KeyTerm"/>
        </w:rPr>
        <w:t>conf/mirror.json</w:t>
      </w:r>
      <w:bookmarkEnd w:id="1017"/>
    </w:p>
    <w:p>
      <w:pPr>
        <w:pStyle w:val="Caption"/>
      </w:pPr>
      <w:r>
        <w:rPr>
          <w:rStyle w:val="CaptionLabel"/>
        </w:rPr>
        <w:t xml:space="preserve">Table 4. </w:t>
      </w:r>
      <w:r>
        <w:t>Mirror configuration keys.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3715"/>
        <w:gridCol w:w="5500"/>
      </w:tblGrid>
      <w:tr>
        <w:tc>
          <w:tcPr>
            <w:tcW w:type="dxa" w:w="3715"/>
            <w:tcW w:w="3715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Key</w:t>
            </w:r>
          </w:p>
        </w:tc>
        <w:tc>
          <w:tcPr>
            <w:tcW w:type="dxa" w:w="5500"/>
            <w:tcW w:w="5500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Meaning</w:t>
            </w:r>
          </w:p>
        </w:tc>
        <w:trPr>
          <w:cantSplit/>
          <w:tblHeader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host</w:t>
            </w:r>
            <w:r>
              <w:rPr>
                <w:color w:val="5C6672"/>
              </w:rPr>
              <w:t>,</w:t>
            </w:r>
            <w:r>
              <w:br/>
            </w:r>
            <w:r>
              <w:t>port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TCP mirror bind address and Reflection control/data port.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hostudpv4</w:t>
            </w:r>
            <w:r>
              <w:rPr>
                <w:color w:val="5C6672"/>
              </w:rPr>
              <w:t>,</w:t>
            </w:r>
            <w:r>
              <w:br/>
            </w:r>
            <w:r>
              <w:t>hostudpv6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UDP bind addresses.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heartbeat_tcp</w:t>
            </w:r>
            <w:r>
              <w:rPr>
                <w:color w:val="5C6672"/>
              </w:rPr>
              <w:t>,</w:t>
            </w:r>
            <w:r>
              <w:br/>
            </w:r>
            <w:r>
              <w:t>heartbeat_udp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Heartbeat server ports.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keep_alive</w:t>
            </w:r>
            <w:r>
              <w:rPr>
                <w:color w:val="5C6672"/>
              </w:rPr>
              <w:t>,</w:t>
            </w:r>
            <w:r>
              <w:br/>
            </w:r>
            <w:r>
              <w:t>timeout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TCP channel keepalive and idle timeout.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udp_cleanup_interval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Idle UDP client mapping cleanup period.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ipv6enabled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Whether mirror UDP also binds IPv6.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firewall_*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Optional admission-control settings; see next section.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bookmarkStart w:id="1018" w:name="_Toc900018"/>
      <w:pPr>
        <w:pStyle w:val="Heading3"/>
      </w:pPr>
      <w:r>
        <w:t>9.3  Logging configuration</w:t>
      </w:r>
      <w:bookmarkEnd w:id="1018"/>
    </w:p>
    <w:p>
      <w:pPr>
        <w:pStyle w:val="BodyText2026"/>
      </w:pPr>
      <w:r>
        <w:rPr>
          <w:rStyle w:val="CodeInline"/>
        </w:rPr>
        <w:t>log.json</w:t>
      </w:r>
      <w:r>
        <w:t xml:space="preserve"> controls debug logging, synchronous writing, and the nominal </w:t>
      </w:r>
      <w:r>
        <w:rPr>
          <w:rStyle w:val="CodeInline"/>
        </w:rPr>
        <w:t>max_log_mb</w:t>
      </w:r>
      <w:r>
        <w:t xml:space="preserve">. Logs are newline-delimited JSON in </w:t>
      </w:r>
      <w:r>
        <w:rPr>
          <w:rStyle w:val="CodeInline"/>
        </w:rPr>
        <w:t>logs/</w:t>
      </w:r>
      <w:r>
        <w:t>. Rotate and retain them with the operating system’s log facility; do not rely solely on the application’s maximum-size setting.</w:t>
      </w:r>
    </w:p>
    <w:p>
      <w:bookmarkStart w:id="1019" w:name="_Toc900019"/>
      <w:pPr>
        <w:pStyle w:val="Heading2"/>
        <w:pageBreakBefore/>
        <w:pBdr>
          <w:top w:val="nil"/>
        </w:pBdr>
      </w:pPr>
      <w:r>
        <w:t>10  Optional extensions and data handling</w:t>
      </w:r>
      <w:bookmarkEnd w:id="1019"/>
    </w:p>
    <w:p>
      <w:pPr>
        <w:pStyle w:val="BodyText2026"/>
      </w:pPr>
      <w:r>
        <w:rPr>
          <w:rStyle w:val="CodeInline"/>
        </w:rPr>
        <w:t>conf/extensions.json</w:t>
      </w:r>
      <w:r>
        <w:t xml:space="preserve"> defines an ordered extension chain. The supplied default enables both traffic recorder and traffic logger.</w:t>
      </w:r>
    </w:p>
    <w:p>
      <w:pPr>
        <w:pStyle w:val="Caption"/>
      </w:pPr>
      <w:r>
        <w:rPr>
          <w:rStyle w:val="CaptionLabel"/>
        </w:rPr>
        <w:t xml:space="preserve">Table 5. </w:t>
      </w:r>
      <w:r>
        <w:t>Extensions supplied with Reflection.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1872"/>
        <w:gridCol w:w="2188"/>
        <w:gridCol w:w="2678"/>
        <w:gridCol w:w="2476"/>
      </w:tblGrid>
      <w:tr>
        <w:tc>
          <w:tcPr>
            <w:tcW w:type="dxa" w:w="1872"/>
            <w:tcW w:w="1872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Extension</w:t>
            </w:r>
          </w:p>
        </w:tc>
        <w:tc>
          <w:tcPr>
            <w:tcW w:type="dxa" w:w="2188"/>
            <w:tcW w:w="2188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Configuration</w:t>
            </w:r>
          </w:p>
        </w:tc>
        <w:tc>
          <w:tcPr>
            <w:tcW w:type="dxa" w:w="2678"/>
            <w:tcW w:w="2678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Effect</w:t>
            </w:r>
          </w:p>
        </w:tc>
        <w:tc>
          <w:tcPr>
            <w:tcW w:type="dxa" w:w="2476"/>
            <w:tcW w:w="2476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Handover advice</w:t>
            </w:r>
          </w:p>
        </w:tc>
        <w:trPr>
          <w:cantSplit/>
          <w:tblHeader/>
        </w:trPr>
      </w:tr>
      <w:tr>
        <w:tc>
          <w:tcPr>
            <w:tcW w:type="dxa" w:w="1872"/>
            <w:tcW w:w="1872" w:type="dxa"/>
            <w:vAlign w:val="center"/>
          </w:tcPr>
          <w:p>
            <w:pPr>
              <w:pStyle w:val="TableKey"/>
            </w:pPr>
            <w:r>
              <w:t>trafficlogger</w:t>
            </w:r>
          </w:p>
        </w:tc>
        <w:tc>
          <w:tcPr>
            <w:tcW w:type="dxa" w:w="2188"/>
            <w:tcW w:w="2188" w:type="dxa"/>
            <w:vAlign w:val="center"/>
          </w:tcPr>
          <w:p>
            <w:pPr>
              <w:pStyle w:val="TableText"/>
            </w:pPr>
            <w:r>
              <w:rPr>
                <w:rStyle w:val="CodeInlineSmall"/>
              </w:rPr>
              <w:t>trafficlogger.json</w:t>
            </w:r>
          </w:p>
        </w:tc>
        <w:tc>
          <w:tcPr>
            <w:tcW w:type="dxa" w:w="2678"/>
            <w:tcW w:w="2678" w:type="dxa"/>
            <w:vAlign w:val="center"/>
          </w:tcPr>
          <w:p>
            <w:pPr>
              <w:pStyle w:val="TableText"/>
            </w:pPr>
            <w:r>
              <w:t xml:space="preserve">Writes metadata and payload chunks to </w:t>
            </w:r>
            <w:r>
              <w:rPr>
                <w:rStyle w:val="CodeInlineSmall"/>
              </w:rPr>
              <w:t>logs/traffic.log</w:t>
            </w:r>
            <w:r>
              <w:t>; payloads are Base64 by default.</w:t>
            </w:r>
          </w:p>
        </w:tc>
        <w:tc>
          <w:tcPr>
            <w:tcW w:type="dxa" w:w="2476"/>
            <w:tcW w:w="2476" w:type="dxa"/>
            <w:vAlign w:val="center"/>
          </w:tcPr>
          <w:p>
            <w:pPr>
              <w:pStyle w:val="TableText"/>
            </w:pPr>
            <w:r>
              <w:t>Disable in production unless it is required and retention/access controls are approved.</w:t>
            </w:r>
          </w:p>
        </w:tc>
        <w:trPr>
          <w:cantSplit/>
        </w:trPr>
      </w:tr>
      <w:tr>
        <w:tc>
          <w:tcPr>
            <w:tcW w:type="dxa" w:w="1872"/>
            <w:tcW w:w="1872" w:type="dxa"/>
            <w:vAlign w:val="center"/>
            <w:shd w:val="clear" w:color="auto" w:fill="F6F8FA"/>
          </w:tcPr>
          <w:p>
            <w:pPr>
              <w:pStyle w:val="TableKey"/>
            </w:pPr>
            <w:r>
              <w:t>trafficrecorder</w:t>
            </w:r>
          </w:p>
        </w:tc>
        <w:tc>
          <w:tcPr>
            <w:tcW w:type="dxa" w:w="2188"/>
            <w:tcW w:w="2188" w:type="dxa"/>
            <w:vAlign w:val="center"/>
            <w:shd w:val="clear" w:color="auto" w:fill="F6F8FA"/>
          </w:tcPr>
          <w:p>
            <w:pPr>
              <w:pStyle w:val="TableText"/>
            </w:pPr>
            <w:r>
              <w:rPr>
                <w:rStyle w:val="CodeInlineSmall"/>
              </w:rPr>
              <w:t>trafficrecorder.json</w:t>
            </w:r>
          </w:p>
        </w:tc>
        <w:tc>
          <w:tcPr>
            <w:tcW w:type="dxa" w:w="2678"/>
            <w:tcW w:w="2678" w:type="dxa"/>
            <w:vAlign w:val="center"/>
            <w:shd w:val="clear" w:color="auto" w:fill="F6F8FA"/>
          </w:tcPr>
          <w:p>
            <w:pPr>
              <w:pStyle w:val="TableText"/>
            </w:pPr>
            <w:r>
              <w:t xml:space="preserve">Writes raw inbound/outbound payload streams to </w:t>
            </w:r>
            <w:r>
              <w:rPr>
                <w:rStyle w:val="CodeInlineSmall"/>
              </w:rPr>
              <w:t>logs/capture.log.in</w:t>
            </w:r>
            <w:r>
              <w:t xml:space="preserve"> and .out.</w:t>
            </w:r>
          </w:p>
        </w:tc>
        <w:tc>
          <w:tcPr>
            <w:tcW w:type="dxa" w:w="2476"/>
            <w:tcW w:w="2476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Treat as sensitive capture data; normally disable.</w:t>
            </w:r>
          </w:p>
        </w:tc>
        <w:trPr>
          <w:cantSplit/>
        </w:trPr>
      </w:tr>
      <w:tr>
        <w:tc>
          <w:tcPr>
            <w:tcW w:type="dxa" w:w="1872"/>
            <w:tcW w:w="1872" w:type="dxa"/>
            <w:vAlign w:val="center"/>
          </w:tcPr>
          <w:p>
            <w:pPr>
              <w:pStyle w:val="TableKey"/>
            </w:pPr>
            <w:r>
              <w:t>aes</w:t>
            </w:r>
          </w:p>
        </w:tc>
        <w:tc>
          <w:tcPr>
            <w:tcW w:type="dxa" w:w="2188"/>
            <w:tcW w:w="2188" w:type="dxa"/>
            <w:vAlign w:val="center"/>
          </w:tcPr>
          <w:p>
            <w:pPr>
              <w:pStyle w:val="TableText"/>
            </w:pPr>
            <w:r>
              <w:rPr>
                <w:rStyle w:val="CodeInlineSmall"/>
              </w:rPr>
              <w:t>aes.json</w:t>
            </w:r>
          </w:p>
        </w:tc>
        <w:tc>
          <w:tcPr>
            <w:tcW w:type="dxa" w:w="2678"/>
            <w:tcW w:w="2678" w:type="dxa"/>
            <w:vAlign w:val="center"/>
          </w:tcPr>
          <w:p>
            <w:pPr>
              <w:pStyle w:val="TableText"/>
            </w:pPr>
            <w:r>
              <w:t>Adds framed AES payload encryption for TCP only.</w:t>
            </w:r>
          </w:p>
        </w:tc>
        <w:tc>
          <w:tcPr>
            <w:tcW w:type="dxa" w:w="2476"/>
            <w:tcW w:w="2476" w:type="dxa"/>
            <w:vAlign w:val="center"/>
          </w:tcPr>
          <w:p>
            <w:pPr>
              <w:pStyle w:val="TableText"/>
            </w:pPr>
            <w:r>
              <w:t>Add only after both ends use matching extension order/key and an end-to-end test succeeds.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pPr>
        <w:pStyle w:val="BodyText2026"/>
      </w:pPr>
      <w:r>
        <w:t xml:space="preserve">Set both logger/recorder enabled values to false to stop payload capture. Ensure the </w:t>
      </w:r>
      <w:r>
        <w:rPr>
          <w:rStyle w:val="CodeInline"/>
        </w:rPr>
        <w:t>logs/</w:t>
      </w:r>
      <w:r>
        <w:t xml:space="preserve"> directory exists before enabling extensions.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2C5E9E"/>
          <w:left w:val="single" w:sz="30" w:space="0" w:color="2C5E9E"/>
          <w:bottom w:val="single" w:sz="4" w:space="0" w:color="2C5E9E"/>
          <w:right w:val="single" w:sz="4" w:space="0" w:color="2C5E9E"/>
        </w:tblBorders>
      </w:tblPr>
      <w:tblGrid>
        <w:gridCol w:w="9216"/>
      </w:tblGrid>
      <w:tr>
        <w:tc>
          <w:tcPr>
            <w:tcW w:type="dxa" w:w="9216"/>
            <w:shd w:val="clear" w:color="auto" w:fill="EEF3F9"/>
            <w:tcW w:w="5000" w:type="pct"/>
          </w:tcPr>
          <w:p>
            <w:pPr>
              <w:pStyle w:val="CalloutLabel"/>
            </w:pPr>
            <w:r>
              <w:rPr>
                <w:color w:val="1D3E63"/>
              </w:rPr>
              <w:t>NOTE</w:t>
            </w:r>
          </w:p>
          <w:p>
            <w:pPr>
              <w:pStyle w:val="CalloutBody"/>
            </w:pPr>
            <w:r>
              <w:t>Extension order matters: outbound processing runs in reverse order, so both ends must have the same list/order.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pPr>
        <w:pStyle w:val="BodyText2026"/>
      </w:pPr>
      <w:r>
        <w:t xml:space="preserve">To enable aes extension add </w:t>
      </w:r>
      <w:r>
        <w:rPr>
          <w:rStyle w:val="CodeInline"/>
        </w:rPr>
        <w:t>{"extension": "aes"}</w:t>
      </w:r>
      <w:r>
        <w:t xml:space="preserve"> in </w:t>
      </w:r>
      <w:r>
        <w:rPr>
          <w:rStyle w:val="CodeInline"/>
        </w:rPr>
        <w:t>extension.json</w:t>
      </w:r>
    </w:p>
    <w:p>
      <w:bookmarkStart w:id="1020" w:name="_Toc900020"/>
      <w:pPr>
        <w:pStyle w:val="Heading2"/>
      </w:pPr>
      <w:r>
        <w:t>11  Optional firewall control</w:t>
      </w:r>
      <w:bookmarkEnd w:id="1020"/>
    </w:p>
    <w:p>
      <w:pPr>
        <w:pStyle w:val="BodyText2026"/>
      </w:pPr>
      <w:r>
        <w:t xml:space="preserve">When </w:t>
      </w:r>
      <w:r>
        <w:rPr>
          <w:rStyle w:val="CodeInline"/>
        </w:rPr>
        <w:t>firewall_enabled_tcp</w:t>
      </w:r>
      <w:r>
        <w:t xml:space="preserve"> or </w:t>
      </w:r>
      <w:r>
        <w:rPr>
          <w:rStyle w:val="CodeInline"/>
        </w:rPr>
        <w:t>firewall_enabled_udp</w:t>
      </w:r>
      <w:r>
        <w:t xml:space="preserve"> is true, a newly created mirror listener denies traffic unless the source IP is explicitly allowed or passes the configured geography rules.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A83B22"/>
          <w:left w:val="single" w:sz="30" w:space="0" w:color="A83B22"/>
          <w:bottom w:val="single" w:sz="4" w:space="0" w:color="A83B22"/>
          <w:right w:val="single" w:sz="4" w:space="0" w:color="A83B22"/>
        </w:tblBorders>
      </w:tblPr>
      <w:tblGrid>
        <w:gridCol w:w="9216"/>
      </w:tblGrid>
      <w:tr>
        <w:tc>
          <w:tcPr>
            <w:tcW w:type="dxa" w:w="9216"/>
            <w:shd w:val="clear" w:color="auto" w:fill="FDF0EC"/>
            <w:tcW w:w="5000" w:type="pct"/>
          </w:tcPr>
          <w:p>
            <w:pPr>
              <w:pStyle w:val="CalloutLabel"/>
            </w:pPr>
            <w:r>
              <w:rPr>
                <w:color w:val="8C2F1B"/>
              </w:rPr>
              <w:t>WARNING</w:t>
            </w:r>
          </w:p>
          <w:p>
            <w:pPr>
              <w:pStyle w:val="CalloutBody"/>
            </w:pPr>
            <w:r>
              <w:t>The firewall control port is powerful and must be network-restricted.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bookmarkStart w:id="1021" w:name="_Toc900021"/>
      <w:pPr>
        <w:pStyle w:val="Heading3"/>
      </w:pPr>
      <w:r>
        <w:t>11.1  Firewall administration commands</w:t>
      </w:r>
      <w:bookmarkEnd w:id="1021"/>
    </w:p>
    <w:p>
      <w:pPr>
        <w:pStyle w:val="BodyText2026"/>
      </w:pPr>
      <w:r>
        <w:t xml:space="preserve">These commands manage IP access to client-facing listeners on the mirror. Set </w:t>
      </w:r>
      <w:r>
        <w:rPr>
          <w:rStyle w:val="CodeInline"/>
        </w:rPr>
        <w:t>firewall_enabled_tcp: true</w:t>
      </w:r>
      <w:r>
        <w:t xml:space="preserve"> on the mirror and restrict the firewall-control port to trusted administrators.</w:t>
      </w:r>
    </w:p>
    <w:p>
      <w:pPr>
        <w:pStyle w:val="CodeBlock"/>
      </w:pPr>
      <w:r>
        <w:t>node lib/firewall.js open CLIENT_IP PUBLISHED_PORT MIRROR_HOST FIREWALL_CONTROL_PORT [sfw_mode|heartbeat_mode]</w:t>
      </w:r>
    </w:p>
    <w:p>
      <w:pPr>
        <w:pStyle w:val="BodyText2026"/>
      </w:pPr>
      <w:r>
        <w:t xml:space="preserve">Allows </w:t>
      </w:r>
      <w:r>
        <w:rPr>
          <w:rStyle w:val="CodeInline"/>
        </w:rPr>
        <w:t>CLIENT_IP</w:t>
      </w:r>
      <w:r>
        <w:t xml:space="preserve"> to connect to </w:t>
      </w:r>
      <w:r>
        <w:rPr>
          <w:rStyle w:val="CodeInline"/>
        </w:rPr>
        <w:t>PUBLISHED_PORT</w:t>
      </w:r>
      <w:r>
        <w:t xml:space="preserve">. Use </w:t>
      </w:r>
      <w:r>
        <w:rPr>
          <w:rStyle w:val="CodeInline"/>
        </w:rPr>
        <w:t>all</w:t>
      </w:r>
      <w:r>
        <w:t xml:space="preserve"> instead of </w:t>
      </w:r>
      <w:r>
        <w:rPr>
          <w:rStyle w:val="CodeInline"/>
        </w:rPr>
        <w:t>PUBLISHED_PORT</w:t>
      </w:r>
      <w:r>
        <w:t xml:space="preserve"> to target every active listener.</w:t>
      </w:r>
    </w:p>
    <w:p>
      <w:pPr>
        <w:numPr>
          <w:ilvl w:val="0"/>
          <w:numId w:val="703"/>
        </w:numPr>
        <w:pStyle w:val="BodyText2026"/>
        <w:spacing w:after="80" w:before="20"/>
      </w:pPr>
      <w:r>
        <w:rPr>
          <w:rStyle w:val="CodeInline"/>
        </w:rPr>
        <w:t>sfw_mode</w:t>
      </w:r>
      <w:r>
        <w:t>: automatically revokes access when that client’s TCP session ends.</w:t>
      </w:r>
    </w:p>
    <w:p>
      <w:pPr>
        <w:numPr>
          <w:ilvl w:val="0"/>
          <w:numId w:val="703"/>
        </w:numPr>
        <w:pStyle w:val="BodyText2026"/>
        <w:spacing w:after="80" w:before="20"/>
      </w:pPr>
      <w:r>
        <w:rPr>
          <w:rStyle w:val="CodeInline"/>
        </w:rPr>
        <w:t>heartbeat_mode</w:t>
      </w:r>
      <w:r>
        <w:t>: keeps access only while periodic heartbeat commands continue.</w:t>
      </w:r>
    </w:p>
    <w:p>
      <w:pPr>
        <w:pStyle w:val="CodeBlock"/>
      </w:pPr>
      <w:r>
        <w:t>node lib/firewall.js close CLIENT_IP PUBLISHED_PORT MIRROR_HOST FIREWALL_CONTROL_PORT</w:t>
      </w:r>
    </w:p>
    <w:p>
      <w:pPr>
        <w:pStyle w:val="BodyText2026"/>
      </w:pPr>
      <w:r>
        <w:t xml:space="preserve">Revokes </w:t>
      </w:r>
      <w:r>
        <w:rPr>
          <w:rStyle w:val="CodeInline"/>
        </w:rPr>
        <w:t>CLIENT_IP</w:t>
      </w:r>
      <w:r>
        <w:t xml:space="preserve">’s access to </w:t>
      </w:r>
      <w:r>
        <w:rPr>
          <w:rStyle w:val="CodeInline"/>
        </w:rPr>
        <w:t>PUBLISHED_PORT</w:t>
      </w:r>
      <w:r>
        <w:t xml:space="preserve"> and disconnects that IP’s currently active sessions. Use </w:t>
      </w:r>
      <w:r>
        <w:rPr>
          <w:rStyle w:val="CodeInline"/>
        </w:rPr>
        <w:t>all</w:t>
      </w:r>
      <w:r>
        <w:t xml:space="preserve"> to revoke it from every active listener.</w:t>
      </w:r>
    </w:p>
    <w:p>
      <w:pPr>
        <w:pStyle w:val="CodeBlock"/>
      </w:pPr>
      <w:r>
        <w:t>node lib/firewall.js heartbeat CLIENT_IP PUBLISHED_PORT MIRROR_HOST FIREWALL_CONTROL_PORT</w:t>
      </w:r>
    </w:p>
    <w:p>
      <w:pPr>
        <w:pStyle w:val="BodyText2026"/>
      </w:pPr>
      <w:r>
        <w:t xml:space="preserve">Refreshes an existing rule created with </w:t>
      </w:r>
      <w:r>
        <w:rPr>
          <w:rStyle w:val="CodeInline"/>
        </w:rPr>
        <w:t>heartbeat_mode</w:t>
      </w:r>
      <w:r>
        <w:t xml:space="preserve">. It does not create or reopen a rule. If these heartbeats stop, the mirror removes the allowance after </w:t>
      </w:r>
      <w:r>
        <w:rPr>
          <w:rStyle w:val="CodeInline"/>
        </w:rPr>
        <w:t>firewall_timeout_for_heartbeat_mode_autoclose</w:t>
      </w:r>
      <w:r>
        <w:t>.</w:t>
      </w:r>
    </w:p>
    <w:p>
      <w:pPr>
        <w:pStyle w:val="CodeBlock"/>
      </w:pPr>
      <w:r>
        <w:t>node lib/firewall.js check CLIENT_IP PUBLISHED_PORT MIRROR_HOST FIREWALL_CONTROL_PORT</w:t>
      </w:r>
    </w:p>
    <w:p>
      <w:pPr>
        <w:pStyle w:val="BodyText2026"/>
      </w:pPr>
      <w:r>
        <w:t xml:space="preserve">Checks whether </w:t>
      </w:r>
      <w:r>
        <w:rPr>
          <w:rStyle w:val="CodeInline"/>
        </w:rPr>
        <w:t>CLIENT_IP</w:t>
      </w:r>
      <w:r>
        <w:t xml:space="preserve"> would currently be allowed to access </w:t>
      </w:r>
      <w:r>
        <w:rPr>
          <w:rStyle w:val="CodeInline"/>
        </w:rPr>
        <w:t>PUBLISHED_PORT</w:t>
      </w:r>
      <w:r>
        <w:t>, considering explicit firewall rules and configured geofencing.</w:t>
      </w:r>
    </w:p>
    <w:p>
      <w:pPr>
        <w:pStyle w:val="Lead-in"/>
      </w:pPr>
      <w:r>
        <w:t>Example:</w:t>
      </w:r>
    </w:p>
    <w:p>
      <w:pPr>
        <w:pStyle w:val="CodeBlock"/>
      </w:pPr>
      <w:r>
        <w:t>node lib/firewall.js open 203.0.113.10 9898 mirror.example.com 2003 heartbeat_mode</w:t>
      </w:r>
      <w:r>
        <w:br/>
      </w:r>
      <w:r>
        <w:t>node lib/firewall.js heartbeat 203.0.113.10 9898 mirror.example.com 2003</w:t>
      </w:r>
      <w:r>
        <w:br/>
      </w:r>
      <w:r>
        <w:t>node lib/firewall.js check 203.0.113.10 9898 mirror.example.com 2003</w:t>
      </w:r>
      <w:r>
        <w:br/>
      </w:r>
      <w:r>
        <w:t>node lib/firewall.js close 203.0.113.10 9898 mirror.example.com 2003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2C5E9E"/>
          <w:left w:val="single" w:sz="30" w:space="0" w:color="2C5E9E"/>
          <w:bottom w:val="single" w:sz="4" w:space="0" w:color="2C5E9E"/>
          <w:right w:val="single" w:sz="4" w:space="0" w:color="2C5E9E"/>
        </w:tblBorders>
      </w:tblPr>
      <w:tblGrid>
        <w:gridCol w:w="9216"/>
      </w:tblGrid>
      <w:tr>
        <w:tc>
          <w:tcPr>
            <w:tcW w:type="dxa" w:w="9216"/>
            <w:shd w:val="clear" w:color="auto" w:fill="EEF3F9"/>
            <w:tcW w:w="5000" w:type="pct"/>
          </w:tcPr>
          <w:p>
            <w:pPr>
              <w:pStyle w:val="CalloutLabel"/>
            </w:pPr>
            <w:r>
              <w:rPr>
                <w:color w:val="1D3E63"/>
              </w:rPr>
              <w:t>NOTE</w:t>
            </w:r>
          </w:p>
          <w:p>
            <w:pPr>
              <w:pStyle w:val="CalloutBody"/>
            </w:pPr>
            <w:r>
              <w:t>Geofencing may contact the configured external HTTP geolocation endpoint. Consider privacy, egress controls, and dependency availability before enabling it.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bookmarkStart w:id="1022" w:name="_Toc900022"/>
      <w:pPr>
        <w:pStyle w:val="Heading3"/>
      </w:pPr>
      <w:r>
        <w:t>11.2  Geolocation firewall rules</w:t>
      </w:r>
      <w:bookmarkEnd w:id="1022"/>
    </w:p>
    <w:p>
      <w:pPr>
        <w:pStyle w:val="BodyText2026"/>
      </w:pPr>
      <w:r>
        <w:t xml:space="preserve">Geolocation is configured on the mirror in </w:t>
      </w:r>
      <w:r>
        <w:rPr>
          <w:rStyle w:val="CodeInline"/>
        </w:rPr>
        <w:t>conf/mirror.json</w:t>
      </w:r>
      <w:r>
        <w:t>; there is no separate firewall CLI command for it.</w:t>
      </w:r>
    </w:p>
    <w:p>
      <w:pPr>
        <w:pStyle w:val="CodeBlock"/>
      </w:pPr>
      <w:r>
        <w:t>{</w:t>
      </w:r>
      <w:r>
        <w:br/>
      </w:r>
      <w:r>
        <w:t xml:space="preserve">  "firewall_geofencing_additive": ["ML", "SG", "JP", "private_blocks", "localhost"],</w:t>
      </w:r>
      <w:r>
        <w:br/>
      </w:r>
      <w:r>
        <w:t xml:space="preserve">  "firewall_geofencing_subtractive": ["RU", "CN"],</w:t>
      </w:r>
      <w:r>
        <w:br/>
      </w:r>
      <w:r>
        <w:t xml:space="preserve">  "firewall_geo_server": "",</w:t>
      </w:r>
      <w:r>
        <w:br/>
      </w:r>
      <w:r>
        <w:t xml:space="preserve">  "firewall_ip_cache_size": 2000000</w:t>
      </w:r>
      <w:r>
        <w:br/>
      </w:r>
      <w:r>
        <w:t>}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rPr>
          <w:rStyle w:val="CodeInline"/>
        </w:rPr>
        <w:t>firewall_geofencing_additive</w:t>
      </w:r>
      <w:r>
        <w:t xml:space="preserve"> — automatically allows clients whose location matches an entry, even if no explicit open command was issued.</w:t>
        <w:br/>
        <w:t>Valid country entries are ISO two-letter country codes, such as "IN", "SG", or "US".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rPr>
          <w:rStyle w:val="CodeInline"/>
        </w:rPr>
        <w:t>firewall_geofencing_subtractive</w:t>
      </w:r>
      <w:r>
        <w:t xml:space="preserve"> — always denies matching client locations. This takes precedence over an explicit open firewall rule.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rPr>
          <w:rStyle w:val="CodeInline"/>
        </w:rPr>
        <w:t>firewall_geo_server</w:t>
      </w:r>
      <w:r>
        <w:t xml:space="preserve"> — hostname used to look up public client IP locations. The current implementation calls it over HTTP on port 80.</w:t>
      </w:r>
      <w:r>
        <w:t xml:space="preserve"> This deployment has no internet access, so the value is left blank here; provide a reachable geolocation server's hostname only if geolocation lookups become needed.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rPr>
          <w:rStyle w:val="CodeInline"/>
        </w:rPr>
        <w:t>firewall_ip_cache_size</w:t>
      </w:r>
      <w:r>
        <w:t xml:space="preserve"> — maximum number of IP-to-location lookups retained in memory.</w:t>
      </w:r>
    </w:p>
    <w:p>
      <w:pPr>
        <w:pStyle w:val="Lead-in"/>
      </w:pPr>
      <w:r>
        <w:t>Example: allow India, Singapore, and private-network addresses by default, but block Russia and China:</w:t>
      </w:r>
    </w:p>
    <w:p>
      <w:pPr>
        <w:pStyle w:val="CodeBlock"/>
      </w:pPr>
      <w:r>
        <w:t>{</w:t>
      </w:r>
      <w:r>
        <w:br/>
      </w:r>
      <w:r>
        <w:t xml:space="preserve">  "firewall_enabled_tcp": true,</w:t>
      </w:r>
      <w:r>
        <w:br/>
      </w:r>
      <w:r>
        <w:t xml:space="preserve">  "firewall_geofencing_additive": ["IN", "SG", "private_blocks", "localhost"],</w:t>
      </w:r>
      <w:r>
        <w:br/>
      </w:r>
      <w:r>
        <w:t xml:space="preserve">  "firewall_geofencing_subtractive": ["RU", "CN"],</w:t>
      </w:r>
      <w:r>
        <w:br/>
      </w:r>
      <w:r>
        <w:t xml:space="preserve">  "firewall_geo_server": ""</w:t>
      </w:r>
      <w:r>
        <w:br/>
      </w:r>
      <w:r>
        <w:t>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2C5E9E"/>
          <w:left w:val="single" w:sz="30" w:space="0" w:color="2C5E9E"/>
          <w:bottom w:val="single" w:sz="4" w:space="0" w:color="2C5E9E"/>
          <w:right w:val="single" w:sz="4" w:space="0" w:color="2C5E9E"/>
        </w:tblBorders>
      </w:tblPr>
      <w:tblGrid>
        <w:gridCol w:w="9216"/>
      </w:tblGrid>
      <w:tr>
        <w:tc>
          <w:tcPr>
            <w:tcW w:type="dxa" w:w="9216"/>
            <w:shd w:val="clear" w:color="auto" w:fill="EEF3F9"/>
            <w:tcW w:w="5000" w:type="pct"/>
          </w:tcPr>
          <w:p>
            <w:pPr>
              <w:pStyle w:val="CalloutLabel"/>
            </w:pPr>
            <w:r>
              <w:rPr>
                <w:color w:val="1D3E63"/>
              </w:rPr>
              <w:t>NOTE</w:t>
            </w:r>
          </w:p>
          <w:p>
            <w:pPr>
              <w:pStyle w:val="CalloutBody"/>
            </w:pPr>
            <w:r>
              <w:t>Restart the mirror after changing these settings. If the geolocation service cannot be reached, an unknown public IP is not automatically allowed by the additive list; use open for explicit access where needed.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bookmarkStart w:id="1023" w:name="_Toc900023"/>
      <w:pPr>
        <w:pStyle w:val="Heading2"/>
        <w:pageBreakBefore/>
        <w:pBdr>
          <w:top w:val="nil"/>
        </w:pBdr>
      </w:pPr>
      <w:r>
        <w:t>12  Production service management</w:t>
      </w:r>
      <w:bookmarkEnd w:id="1023"/>
    </w:p>
    <w:p>
      <w:pPr>
        <w:pStyle w:val="BodyText2026"/>
      </w:pPr>
      <w:r>
        <w:t>Run each long-lived command under systemd, a container supervisor, or an equivalent process manager. Reflection intentionally exits when it loses connectivity, misses required heartbeats, or detects an address change; a supervisor must restart it.</w:t>
      </w:r>
    </w:p>
    <w:p>
      <w:bookmarkStart w:id="1024" w:name="_Toc900024"/>
      <w:pPr>
        <w:pStyle w:val="Heading2"/>
      </w:pPr>
      <w:r>
        <w:t>13  Operation and validation checklist</w:t>
      </w:r>
      <w:bookmarkEnd w:id="1024"/>
    </w:p>
    <w:p>
      <w:pPr>
        <w:numPr>
          <w:ilvl w:val="0"/>
          <w:numId w:val="702"/>
        </w:numPr>
        <w:pStyle w:val="BodyText2026"/>
        <w:spacing w:after="100" w:before="20"/>
      </w:pPr>
      <w:r>
        <w:t>Check that the mirror process is running and listening on the configured control port.</w:t>
      </w:r>
    </w:p>
    <w:p>
      <w:pPr>
        <w:numPr>
          <w:ilvl w:val="0"/>
          <w:numId w:val="702"/>
        </w:numPr>
        <w:pStyle w:val="BodyText2026"/>
        <w:spacing w:after="100" w:before="20"/>
      </w:pPr>
      <w:r>
        <w:t>Check that each reflector process is running and that its log shows an active mirror listener and pool/channel activity.</w:t>
      </w:r>
    </w:p>
    <w:p>
      <w:pPr>
        <w:numPr>
          <w:ilvl w:val="0"/>
          <w:numId w:val="702"/>
        </w:numPr>
        <w:pStyle w:val="BodyText2026"/>
        <w:spacing w:after="100" w:before="20"/>
      </w:pPr>
      <w:r>
        <w:t>Test one application request through every published service port from the intended client network.</w:t>
      </w:r>
    </w:p>
    <w:p>
      <w:pPr>
        <w:numPr>
          <w:ilvl w:val="0"/>
          <w:numId w:val="702"/>
        </w:numPr>
        <w:pStyle w:val="BodyText2026"/>
        <w:spacing w:after="100" w:before="20"/>
      </w:pPr>
      <w:r>
        <w:t xml:space="preserve">Review </w:t>
      </w:r>
      <w:r>
        <w:rPr>
          <w:rStyle w:val="CodeInline"/>
        </w:rPr>
        <w:t>logs/*.ndjson</w:t>
      </w:r>
      <w:r>
        <w:t xml:space="preserve"> for [access], connection errors, heartbeat failures, and firewall blocks.</w:t>
      </w:r>
    </w:p>
    <w:p>
      <w:pPr>
        <w:numPr>
          <w:ilvl w:val="0"/>
          <w:numId w:val="702"/>
        </w:numPr>
        <w:pStyle w:val="BodyText2026"/>
        <w:spacing w:after="100" w:before="20"/>
      </w:pPr>
      <w:r>
        <w:t xml:space="preserve">Check disk usage under </w:t>
      </w:r>
      <w:r>
        <w:rPr>
          <w:rStyle w:val="CodeInline"/>
        </w:rPr>
        <w:t>logs/</w:t>
      </w:r>
      <w:r>
        <w:t>, particularly if traffic capture is enabled.</w:t>
      </w:r>
    </w:p>
    <w:p>
      <w:pPr>
        <w:numPr>
          <w:ilvl w:val="0"/>
          <w:numId w:val="702"/>
        </w:numPr>
        <w:pStyle w:val="BodyText2026"/>
        <w:spacing w:after="100" w:before="20"/>
      </w:pPr>
      <w:r>
        <w:t>After any secret or configuration change, restart the mirror and reflector together and repeat the end-to-end test.</w:t>
      </w:r>
    </w:p>
    <w:p>
      <w:pPr>
        <w:pStyle w:val="Lead-in"/>
      </w:pPr>
      <w:r>
        <w:t>Useful checks:</w:t>
      </w:r>
    </w:p>
    <w:p>
      <w:pPr>
        <w:pStyle w:val="CodeBlock"/>
      </w:pPr>
      <w:r>
        <w:t>ss -lntup</w:t>
      </w:r>
      <w:r>
        <w:br/>
      </w:r>
      <w:r>
        <w:t>tail -f /opt/reflection/logs/mirror_tcp.log.ndjson</w:t>
      </w:r>
      <w:r>
        <w:br/>
      </w:r>
      <w:r>
        <w:t>tail -f /opt/reflection/logs/reflector_tcp.log.ndjson</w:t>
      </w:r>
    </w:p>
    <w:p>
      <w:bookmarkStart w:id="1025" w:name="_Toc900025"/>
      <w:pPr>
        <w:pStyle w:val="Heading2"/>
        <w:pageBreakBefore/>
        <w:pBdr>
          <w:top w:val="nil"/>
        </w:pBdr>
      </w:pPr>
      <w:r>
        <w:t>14  Troubleshooting</w:t>
      </w:r>
      <w:bookmarkEnd w:id="1025"/>
    </w:p>
    <w:p>
      <w:pPr>
        <w:pStyle w:val="Caption"/>
      </w:pPr>
      <w:r>
        <w:rPr>
          <w:rStyle w:val="CaptionLabel"/>
        </w:rPr>
        <w:t xml:space="preserve">Table 6. </w:t>
      </w:r>
      <w:r>
        <w:t>Symptoms, likely causes, and corrective action.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3024"/>
        <w:gridCol w:w="6192"/>
      </w:tblGrid>
      <w:tr>
        <w:tc>
          <w:tcPr>
            <w:tcW w:type="dxa" w:w="3024"/>
            <w:tcW w:w="3024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Symptom</w:t>
            </w:r>
          </w:p>
        </w:tc>
        <w:tc>
          <w:tcPr>
            <w:tcW w:type="dxa" w:w="6192"/>
            <w:tcW w:w="6192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Likely cause and action</w:t>
            </w:r>
          </w:p>
        </w:tc>
        <w:trPr>
          <w:cantSplit/>
          <w:tblHeader/>
        </w:trPr>
      </w:tr>
      <w:tr>
        <w:tc>
          <w:tcPr>
            <w:tcW w:type="dxa" w:w="3024"/>
            <w:tcW w:w="3024" w:type="dxa"/>
            <w:vAlign w:val="center"/>
          </w:tcPr>
          <w:p>
            <w:pPr>
              <w:pStyle w:val="TableTerm"/>
            </w:pPr>
            <w:r>
              <w:t>Reflector cannot start listener</w:t>
            </w:r>
          </w:p>
        </w:tc>
        <w:tc>
          <w:tcPr>
            <w:tcW w:type="dxa" w:w="6192"/>
            <w:tcW w:w="6192" w:type="dxa"/>
            <w:vAlign w:val="center"/>
          </w:tcPr>
          <w:p>
            <w:pPr>
              <w:pStyle w:val="TableText"/>
            </w:pPr>
            <w:r>
              <w:t xml:space="preserve">Verify mirror hostname/port, network ACLs, matching </w:t>
            </w:r>
            <w:r>
              <w:rPr>
                <w:rStyle w:val="CodeInlineSmall"/>
              </w:rPr>
              <w:t>crypt.json</w:t>
            </w:r>
            <w:r>
              <w:t>, and that the requested published port is free.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Mirror says no reflector is available</w:t>
            </w:r>
          </w:p>
        </w:tc>
        <w:tc>
          <w:tcPr>
            <w:tcW w:type="dxa" w:w="6192"/>
            <w:tcW w:w="6192" w:type="dxa"/>
            <w:vAlign w:val="center"/>
            <w:shd w:val="clear" w:color="auto" w:fill="F6F8FA"/>
          </w:tcPr>
          <w:p>
            <w:pPr>
              <w:pStyle w:val="TableText"/>
            </w:pPr>
            <w:r>
              <w:t xml:space="preserve">The reflector is down, cannot reach the mirror, has a key mismatch, or all TCP pool channels are allocated. Check reflector logs and raise </w:t>
            </w:r>
            <w:r>
              <w:rPr>
                <w:rStyle w:val="CodeInlineSmall"/>
              </w:rPr>
              <w:t>pool_size</w:t>
            </w:r>
            <w:r>
              <w:t xml:space="preserve"> if concurrency is expected.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</w:tcPr>
          <w:p>
            <w:pPr>
              <w:pStyle w:val="TableTerm"/>
            </w:pPr>
            <w:r>
              <w:t>Listener disappears</w:t>
            </w:r>
          </w:p>
        </w:tc>
        <w:tc>
          <w:tcPr>
            <w:tcW w:type="dxa" w:w="6192"/>
            <w:tcW w:w="6192" w:type="dxa"/>
            <w:vAlign w:val="center"/>
          </w:tcPr>
          <w:p>
            <w:pPr>
              <w:pStyle w:val="TableText"/>
            </w:pPr>
            <w:r>
              <w:t>The mirror closes a listener when its last reflector channel closes. Restore the reflector; supervisor restart should recreate it.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Heartbeat exits a reflector</w:t>
            </w:r>
          </w:p>
        </w:tc>
        <w:tc>
          <w:tcPr>
            <w:tcW w:type="dxa" w:w="6192"/>
            <w:tcW w:w="6192" w:type="dxa"/>
            <w:vAlign w:val="center"/>
            <w:shd w:val="clear" w:color="auto" w:fill="F6F8FA"/>
          </w:tcPr>
          <w:p>
            <w:pPr>
              <w:pStyle w:val="TableText"/>
            </w:pPr>
            <w:r>
              <w:t xml:space="preserve">Verify the mirror heartbeat port and matching heartbeat key. Check </w:t>
            </w:r>
            <w:r>
              <w:rPr>
                <w:rStyle w:val="CodeInlineSmall"/>
              </w:rPr>
              <w:t>heartbeat_check_interval</w:t>
            </w:r>
            <w:r>
              <w:t>, route/firewall, and the failure threshold.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</w:tcPr>
          <w:p>
            <w:pPr>
              <w:pStyle w:val="TableTerm"/>
            </w:pPr>
            <w:r>
              <w:t>Traffic reaches mirror but not origin</w:t>
            </w:r>
          </w:p>
        </w:tc>
        <w:tc>
          <w:tcPr>
            <w:tcW w:type="dxa" w:w="6192"/>
            <w:tcW w:w="6192" w:type="dxa"/>
            <w:vAlign w:val="center"/>
          </w:tcPr>
          <w:p>
            <w:pPr>
              <w:pStyle w:val="TableText"/>
            </w:pPr>
            <w:r>
              <w:t xml:space="preserve">From the reflector host, test </w:t>
            </w:r>
            <w:r>
              <w:rPr>
                <w:rStyle w:val="CodeInlineSmall"/>
              </w:rPr>
              <w:t>reflected_host</w:t>
            </w:r>
            <w:r>
              <w:t>:</w:t>
            </w:r>
            <w:r>
              <w:rPr>
                <w:rStyle w:val="CodeInlineSmall"/>
              </w:rPr>
              <w:t>reflected_port</w:t>
            </w:r>
            <w:r>
              <w:t xml:space="preserve"> directly. Verify DNS, routing, and origin ACLs.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UDP has no response</w:t>
            </w:r>
          </w:p>
        </w:tc>
        <w:tc>
          <w:tcPr>
            <w:tcW w:type="dxa" w:w="6192"/>
            <w:tcW w:w="6192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Check UDP ACLs in both directions, IPv4/IPv6 fields, cleanup timeout, and the TCP heartbeat reachability note.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</w:tcPr>
          <w:p>
            <w:pPr>
              <w:pStyle w:val="TableTerm"/>
            </w:pPr>
            <w:r>
              <w:t>Firewall blocks clients</w:t>
            </w:r>
          </w:p>
        </w:tc>
        <w:tc>
          <w:tcPr>
            <w:tcW w:type="dxa" w:w="6192"/>
            <w:tcW w:w="6192" w:type="dxa"/>
            <w:vAlign w:val="center"/>
          </w:tcPr>
          <w:p>
            <w:pPr>
              <w:pStyle w:val="TableText"/>
            </w:pPr>
            <w:r>
              <w:t>Confirm the firewall feature is enabled intentionally, the client source IP is correct (including NAT), and send an open command to the trusted control port.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Logs grow quickly</w:t>
            </w:r>
          </w:p>
        </w:tc>
        <w:tc>
          <w:tcPr>
            <w:tcW w:type="dxa" w:w="6192"/>
            <w:tcW w:w="6192" w:type="dxa"/>
            <w:vAlign w:val="center"/>
            <w:shd w:val="clear" w:color="auto" w:fill="F6F8FA"/>
          </w:tcPr>
          <w:p>
            <w:pPr>
              <w:pStyle w:val="TableText"/>
            </w:pPr>
            <w:r>
              <w:t xml:space="preserve">Disable traffic logger/recorder, reduce debug logging, rotate </w:t>
            </w:r>
            <w:r>
              <w:rPr>
                <w:rStyle w:val="CodeInlineSmall"/>
              </w:rPr>
              <w:t>logs/</w:t>
            </w:r>
            <w:r>
              <w:t>, and review data-retention obligations.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</w:tcPr>
          <w:p>
            <w:pPr>
              <w:pStyle w:val="TableTerm"/>
            </w:pPr>
            <w:r>
              <w:t>Service continuously restarts</w:t>
            </w:r>
          </w:p>
        </w:tc>
        <w:tc>
          <w:tcPr>
            <w:tcW w:type="dxa" w:w="6192"/>
            <w:tcW w:w="6192" w:type="dxa"/>
            <w:vAlign w:val="center"/>
          </w:tcPr>
          <w:p>
            <w:pPr>
              <w:pStyle w:val="TableText"/>
            </w:pPr>
            <w:r>
              <w:t xml:space="preserve">Inspect the application log first. Common causes are unavailable mirror/origin, interface changes with </w:t>
            </w:r>
            <w:r>
              <w:rPr>
                <w:rStyle w:val="CodeInlineSmall"/>
              </w:rPr>
              <w:t>dhcp_check</w:t>
            </w:r>
            <w:r>
              <w:t>, zero TCP channels beyond the configured wait, and conflicting ports.</w:t>
            </w:r>
          </w:p>
        </w:tc>
        <w:trPr>
          <w:cantSplit/>
        </w:trPr>
      </w:tr>
    </w:tbl>
    <w:p>
      <w:pPr>
        <w:pStyle w:val="BodyText2026"/>
        <w:spacing w:before="0" w:after="60"/>
        <w:rPr>
          <w:sz w:val="12"/>
        </w:rPr>
      </w:pPr>
    </w:p>
    <w:p>
      <w:pPr>
        <w:pStyle w:val="Heading2"/>
        <w:pageBreakBefore/>
        <w:pBdr>
          <w:top w:val="nil"/>
        </w:pBdr>
      </w:pPr>
      <w:r>
        <w:t xml:space="preserve">15  Handover acceptance record</w:t>
      </w:r>
    </w:p>
    <w:p>
      <w:pPr>
        <w:pStyle w:val="BodyText2026"/>
      </w:pPr>
      <w:r>
        <w:t xml:space="preserve">Complete one record for each installed pair of hosts. It confirms that the deployment steps in Part I and the operational controls in Part II were carried out and verified on site.</w:t>
      </w:r>
    </w:p>
    <w:p>
      <w:pPr>
        <w:pStyle w:val="Caption"/>
      </w:pPr>
      <w:r>
        <w:rPr>
          <w:rStyle w:val="CaptionLabel"/>
        </w:rPr>
        <w:t xml:space="preserve">Table 7. </w:t>
      </w:r>
      <w:r>
        <w:t xml:space="preserve">Handover acceptance record.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50" w:type="dxa"/>
          <w:left w:w="130" w:type="dxa"/>
          <w:bottom w:w="5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5472"/>
        <w:gridCol w:w="3744"/>
      </w:tblGrid>
      <w:tr>
        <w:tc>
          <w:tcPr>
            <w:tcW w:type="dxa" w:w="5472"/>
            <w:shd w:val="clear" w:color="auto" w:fill="0A2647"/>
            <w:vAlign w:val="center"/>
          </w:tcPr>
          <w:p>
            <w:pPr>
              <w:pStyle w:val="TableHead"/>
              <w:spacing w:before="20" w:after="20" w:line="252" w:lineRule="auto"/>
            </w:pPr>
            <w:r>
              <w:t xml:space="preserve">Item</w:t>
            </w:r>
          </w:p>
        </w:tc>
        <w:tc>
          <w:tcPr>
            <w:tcW w:type="dxa" w:w="3744"/>
            <w:shd w:val="clear" w:color="auto" w:fill="0A2647"/>
            <w:vAlign w:val="center"/>
          </w:tcPr>
          <w:p>
            <w:pPr>
              <w:pStyle w:val="TableHead"/>
              <w:spacing w:before="20" w:after="20" w:line="252" w:lineRule="auto"/>
            </w:pPr>
            <w:r>
              <w:t xml:space="preserve">Recorded value / confirmation</w:t>
            </w:r>
          </w:p>
        </w:tc>
        <w:trPr>
          <w:cantSplit/>
          <w:tblHeader/>
        </w:trPr>
      </w:tr>
      <w:tr>
        <w:tc>
          <w:tcPr>
            <w:tcW w:type="dxa" w:w="5472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Site and system name</w:t>
            </w:r>
          </w:p>
        </w:tc>
        <w:tc>
          <w:tcPr>
            <w:tcW w:type="dxa" w:w="3744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Mirror host and Reflection control port</w:t>
            </w:r>
          </w:p>
        </w:tc>
        <w:tc>
          <w:tcPr>
            <w:tcW w:type="dxa" w:w="3744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Mirror heartbeat port</w:t>
            </w:r>
          </w:p>
        </w:tc>
        <w:tc>
          <w:tcPr>
            <w:tcW w:type="dxa" w:w="3744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Reflector host and installation directory</w:t>
            </w:r>
          </w:p>
        </w:tc>
        <w:tc>
          <w:tcPr>
            <w:tcW w:type="dxa" w:w="3744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Origin service host and port</w:t>
            </w:r>
          </w:p>
        </w:tc>
        <w:tc>
          <w:tcPr>
            <w:tcW w:type="dxa" w:w="3744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Published service port(s)</w:t>
            </w:r>
          </w:p>
        </w:tc>
        <w:tc>
          <w:tcPr>
            <w:tcW w:type="dxa" w:w="3744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Launch mode in service (TCP, UDP, or many TCP mappings)</w:t>
            </w:r>
          </w:p>
        </w:tc>
        <w:tc>
          <w:tcPr>
            <w:tcW w:type="dxa" w:w="3744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conf/crypt.json secrets replaced with site values</w:t>
            </w:r>
          </w:p>
        </w:tc>
        <w:tc>
          <w:tcPr>
            <w:tcW w:type="dxa" w:w="3744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Traffic logger and recorder disabled unless approved</w:t>
            </w:r>
          </w:p>
        </w:tc>
        <w:tc>
          <w:tcPr>
            <w:tcW w:type="dxa" w:w="3744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Firewall control port restricted to trusted administrators</w:t>
            </w:r>
          </w:p>
        </w:tc>
        <w:tc>
          <w:tcPr>
            <w:tcW w:type="dxa" w:w="3744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Supervisor configured to restart mirror and reflector</w:t>
            </w:r>
          </w:p>
        </w:tc>
        <w:tc>
          <w:tcPr>
            <w:tcW w:type="dxa" w:w="3744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Log rotation and retention configured</w:t>
            </w:r>
          </w:p>
        </w:tc>
        <w:tc>
          <w:tcPr>
            <w:tcW w:type="dxa" w:w="3744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End-to-end test through every published port passed on (date)</w:t>
            </w:r>
          </w:p>
        </w:tc>
        <w:tc>
          <w:tcPr>
            <w:tcW w:type="dxa" w:w="3744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5472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Release and document version handed over</w:t>
            </w:r>
          </w:p>
        </w:tc>
        <w:tc>
          <w:tcPr>
            <w:tcW w:type="dxa" w:w="3744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</w:tbl>
    <w:p>
      <w:pPr>
        <w:pStyle w:val="Caption"/>
        <w:spacing w:before="200"/>
      </w:pPr>
      <w:r>
        <w:rPr>
          <w:rStyle w:val="CaptionLabel"/>
        </w:rPr>
        <w:t xml:space="preserve">Table 8. </w:t>
      </w:r>
      <w:r>
        <w:t xml:space="preserve">Handover signatures.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50" w:type="dxa"/>
          <w:left w:w="130" w:type="dxa"/>
          <w:bottom w:w="5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2016"/>
        <w:gridCol w:w="3600"/>
        <w:gridCol w:w="3600"/>
      </w:tblGrid>
      <w:tr>
        <w:tc>
          <w:tcPr>
            <w:tcW w:type="dxa" w:w="2016"/>
            <w:shd w:val="clear" w:color="auto" w:fill="0A2647"/>
            <w:vAlign w:val="center"/>
          </w:tcPr>
          <w:p>
            <w:pPr>
              <w:pStyle w:val="TableHead"/>
              <w:spacing w:before="20" w:after="20" w:line="252" w:lineRule="auto"/>
            </w:pPr>
            <w:r>
              <w:t xml:space="preserve"/>
            </w:r>
          </w:p>
        </w:tc>
        <w:tc>
          <w:tcPr>
            <w:tcW w:type="dxa" w:w="3600"/>
            <w:shd w:val="clear" w:color="auto" w:fill="0A2647"/>
            <w:vAlign w:val="center"/>
          </w:tcPr>
          <w:p>
            <w:pPr>
              <w:pStyle w:val="TableHead"/>
              <w:spacing w:before="20" w:after="20" w:line="252" w:lineRule="auto"/>
            </w:pPr>
            <w:r>
              <w:t xml:space="preserve">Delivered by (Tekmonks)</w:t>
            </w:r>
          </w:p>
        </w:tc>
        <w:tc>
          <w:tcPr>
            <w:tcW w:type="dxa" w:w="3600"/>
            <w:shd w:val="clear" w:color="auto" w:fill="0A2647"/>
            <w:vAlign w:val="center"/>
          </w:tcPr>
          <w:p>
            <w:pPr>
              <w:pStyle w:val="TableHead"/>
              <w:spacing w:before="20" w:after="20" w:line="252" w:lineRule="auto"/>
            </w:pPr>
            <w:r>
              <w:t xml:space="preserve">Accepted by (customer)</w:t>
            </w:r>
          </w:p>
        </w:tc>
        <w:trPr>
          <w:cantSplit/>
          <w:tblHeader/>
        </w:trPr>
      </w:tr>
      <w:tr>
        <w:tc>
          <w:tcPr>
            <w:tcW w:type="dxa" w:w="2016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Name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2016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Role</w:t>
            </w:r>
          </w:p>
        </w:tc>
        <w:tc>
          <w:tcPr>
            <w:tcW w:type="dxa" w:w="3600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c>
          <w:tcPr>
            <w:tcW w:type="dxa" w:w="3600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2016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Signature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  <w:tr>
        <w:tc>
          <w:tcPr>
            <w:tcW w:type="dxa" w:w="2016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Date</w:t>
            </w:r>
          </w:p>
        </w:tc>
        <w:tc>
          <w:tcPr>
            <w:tcW w:type="dxa" w:w="3600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c>
          <w:tcPr>
            <w:tcW w:type="dxa" w:w="3600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/>
            </w:r>
          </w:p>
        </w:tc>
        <w:trPr>
          <w:cantSplit/>
        </w:trPr>
      </w:tr>
    </w:tbl>
    <w:p>
      <w:pPr>
        <w:pStyle w:val="Heading2"/>
        <w:pageBreakBefore/>
        <w:pBdr>
          <w:top w:val="nil"/>
        </w:pBdr>
      </w:pPr>
      <w:r>
        <w:t xml:space="preserve">Appendix A  Quick reference</w:t>
      </w:r>
    </w:p>
    <w:p>
      <w:pPr>
        <w:pStyle w:val="BodyText2026"/>
      </w:pPr>
      <w:r>
        <w:t xml:space="preserve">Where each value used in this manual is defined. Section numbers refer to the two parts of this handover set.</w:t>
      </w:r>
    </w:p>
    <w:p>
      <w:pPr>
        <w:pStyle w:val="Caption"/>
      </w:pPr>
      <w:r>
        <w:rPr>
          <w:rStyle w:val="CaptionLabel"/>
        </w:rPr>
        <w:t xml:space="preserve">Table 9. </w:t>
      </w:r>
      <w:r>
        <w:t xml:space="preserve">Where each configured value is defined.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50" w:type="dxa"/>
          <w:left w:w="130" w:type="dxa"/>
          <w:bottom w:w="5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3168"/>
        <w:gridCol w:w="6048"/>
      </w:tblGrid>
      <w:tr>
        <w:tc>
          <w:tcPr>
            <w:tcW w:type="dxa" w:w="3168"/>
            <w:shd w:val="clear" w:color="auto" w:fill="0A2647"/>
            <w:vAlign w:val="center"/>
          </w:tcPr>
          <w:p>
            <w:pPr>
              <w:pStyle w:val="TableHead"/>
              <w:spacing w:before="20" w:after="20" w:line="252" w:lineRule="auto"/>
            </w:pPr>
            <w:r>
              <w:t xml:space="preserve">Item</w:t>
            </w:r>
          </w:p>
        </w:tc>
        <w:tc>
          <w:tcPr>
            <w:tcW w:type="dxa" w:w="6048"/>
            <w:shd w:val="clear" w:color="auto" w:fill="0A2647"/>
            <w:vAlign w:val="center"/>
          </w:tcPr>
          <w:p>
            <w:pPr>
              <w:pStyle w:val="TableHead"/>
              <w:spacing w:before="20" w:after="20" w:line="252" w:lineRule="auto"/>
            </w:pPr>
            <w:r>
              <w:t xml:space="preserve">Where it is defined</w:t>
            </w:r>
          </w:p>
        </w:tc>
        <w:trPr>
          <w:cantSplit/>
          <w:tblHeader/>
        </w:trPr>
      </w:tr>
      <w:tr>
        <w:tc>
          <w:tcPr>
            <w:tcW w:type="dxa" w:w="3168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Reflection control/data port</w:t>
            </w:r>
          </w:p>
        </w:tc>
        <w:tc>
          <w:tcPr>
            <w:tcW w:type="dxa" w:w="6048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port in conf/mirror.json; mirror_port in conf/reflect.json (7.1, 7.2)</w:t>
            </w:r>
          </w:p>
        </w:tc>
        <w:trPr>
          <w:cantSplit/>
        </w:trPr>
      </w:tr>
      <w:tr>
        <w:tc>
          <w:tcPr>
            <w:tcW w:type="dxa" w:w="3168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Heartbeat port</w:t>
            </w:r>
          </w:p>
        </w:tc>
        <w:tc>
          <w:tcPr>
            <w:tcW w:type="dxa" w:w="6048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heartbeat_tcp in conf/mirror.json; mirror_heartbeat_tcp in conf/reflect.json (7.1, 7.2)</w:t>
            </w:r>
          </w:p>
        </w:tc>
        <w:trPr>
          <w:cantSplit/>
        </w:trPr>
      </w:tr>
      <w:tr>
        <w:tc>
          <w:tcPr>
            <w:tcW w:type="dxa" w:w="3168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Published client-facing port</w:t>
            </w:r>
          </w:p>
        </w:tc>
        <w:tc>
          <w:tcPr>
            <w:tcW w:type="dxa" w:w="6048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mirror_service_host and mirror_service_port in conf/reflect.json (7.2)</w:t>
            </w:r>
          </w:p>
        </w:tc>
        <w:trPr>
          <w:cantSplit/>
        </w:trPr>
      </w:tr>
      <w:tr>
        <w:tc>
          <w:tcPr>
            <w:tcW w:type="dxa" w:w="3168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Origin service address</w:t>
            </w:r>
          </w:p>
        </w:tc>
        <w:tc>
          <w:tcPr>
            <w:tcW w:type="dxa" w:w="6048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reflected_host and reflected_port in conf/reflect.json (7.2)</w:t>
            </w:r>
          </w:p>
        </w:tc>
        <w:trPr>
          <w:cantSplit/>
        </w:trPr>
      </w:tr>
      <w:tr>
        <w:tc>
          <w:tcPr>
            <w:tcW w:type="dxa" w:w="3168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Multiple published mappings</w:t>
            </w:r>
          </w:p>
        </w:tc>
        <w:tc>
          <w:tcPr>
            <w:tcW w:type="dxa" w:w="6048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reflected_hosts in conf/massreflect.json (8.1)</w:t>
            </w:r>
          </w:p>
        </w:tc>
        <w:trPr>
          <w:cantSplit/>
        </w:trPr>
      </w:tr>
      <w:tr>
        <w:tc>
          <w:tcPr>
            <w:tcW w:type="dxa" w:w="3168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Shared secrets</w:t>
            </w:r>
          </w:p>
        </w:tc>
        <w:tc>
          <w:tcPr>
            <w:tcW w:type="dxa" w:w="6048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key and heartbeat_key in conf/crypt.json, identical on both hosts (3, 6)</w:t>
            </w:r>
          </w:p>
        </w:tc>
        <w:trPr>
          <w:cantSplit/>
        </w:trPr>
      </w:tr>
      <w:tr>
        <w:tc>
          <w:tcPr>
            <w:tcW w:type="dxa" w:w="3168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AES extension key</w:t>
            </w:r>
          </w:p>
        </w:tc>
        <w:tc>
          <w:tcPr>
            <w:tcW w:type="dxa" w:w="6048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conf/aes.json, used by extensions/aes.js (6, 10)</w:t>
            </w:r>
          </w:p>
        </w:tc>
        <w:trPr>
          <w:cantSplit/>
        </w:trPr>
      </w:tr>
      <w:tr>
        <w:tc>
          <w:tcPr>
            <w:tcW w:type="dxa" w:w="3168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Extension chain</w:t>
            </w:r>
          </w:p>
        </w:tc>
        <w:tc>
          <w:tcPr>
            <w:tcW w:type="dxa" w:w="6048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conf/extensions.json (10)</w:t>
            </w:r>
          </w:p>
        </w:tc>
        <w:trPr>
          <w:cantSplit/>
        </w:trPr>
      </w:tr>
      <w:tr>
        <w:tc>
          <w:tcPr>
            <w:tcW w:type="dxa" w:w="3168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Firewall admission control</w:t>
            </w:r>
          </w:p>
        </w:tc>
        <w:tc>
          <w:tcPr>
            <w:tcW w:type="dxa" w:w="6048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firewall_* keys in conf/mirror.json; commands in lib/firewall.js (11)</w:t>
            </w:r>
          </w:p>
        </w:tc>
        <w:trPr>
          <w:cantSplit/>
        </w:trPr>
      </w:tr>
      <w:tr>
        <w:tc>
          <w:tcPr>
            <w:tcW w:type="dxa" w:w="3168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Logging</w:t>
            </w:r>
          </w:p>
        </w:tc>
        <w:tc>
          <w:tcPr>
            <w:tcW w:type="dxa" w:w="6048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log.json; output written under logs/*.ndjson (9.3)</w:t>
            </w:r>
          </w:p>
        </w:tc>
        <w:trPr>
          <w:cantSplit/>
        </w:trPr>
      </w:tr>
    </w:tbl>
    <w:p>
      <w:pPr>
        <w:pStyle w:val="Heading2"/>
      </w:pPr>
      <w:r>
        <w:t xml:space="preserve">Appendix B  Document control</w:t>
      </w:r>
    </w:p>
    <w:p>
      <w:pPr>
        <w:pStyle w:val="Caption"/>
      </w:pPr>
      <w:r>
        <w:rPr>
          <w:rStyle w:val="CaptionLabel"/>
        </w:rPr>
        <w:t xml:space="preserve">Table 10. </w:t>
      </w:r>
      <w:r>
        <w:t xml:space="preserve">Document control.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50" w:type="dxa"/>
          <w:left w:w="130" w:type="dxa"/>
          <w:bottom w:w="5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2304"/>
        <w:gridCol w:w="6912"/>
      </w:tblGrid>
      <w:tr>
        <w:tc>
          <w:tcPr>
            <w:tcW w:type="dxa" w:w="2304"/>
            <w:shd w:val="clear" w:color="auto" w:fill="0A2647"/>
            <w:vAlign w:val="center"/>
          </w:tcPr>
          <w:p>
            <w:pPr>
              <w:pStyle w:val="TableHead"/>
              <w:spacing w:before="20" w:after="20" w:line="252" w:lineRule="auto"/>
            </w:pPr>
            <w:r>
              <w:t xml:space="preserve">Field</w:t>
            </w:r>
          </w:p>
        </w:tc>
        <w:tc>
          <w:tcPr>
            <w:tcW w:type="dxa" w:w="6912"/>
            <w:shd w:val="clear" w:color="auto" w:fill="0A2647"/>
            <w:vAlign w:val="center"/>
          </w:tcPr>
          <w:p>
            <w:pPr>
              <w:pStyle w:val="TableHead"/>
              <w:spacing w:before="20" w:after="20" w:line="252" w:lineRule="auto"/>
            </w:pPr>
            <w:r>
              <w:t xml:space="preserve">Value</w:t>
            </w:r>
          </w:p>
        </w:tc>
        <w:trPr>
          <w:cantSplit/>
          <w:tblHeader/>
        </w:trPr>
      </w:tr>
      <w:tr>
        <w:tc>
          <w:tcPr>
            <w:tcW w:type="dxa" w:w="2304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Document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Reflection Administrator &amp; Operations Manual</w:t>
            </w:r>
          </w:p>
        </w:tc>
        <w:trPr>
          <w:cantSplit/>
        </w:trPr>
      </w:tr>
      <w:tr>
        <w:tc>
          <w:tcPr>
            <w:tcW w:type="dxa" w:w="2304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Part I</w:t>
            </w:r>
          </w:p>
        </w:tc>
        <w:tc>
          <w:tcPr>
            <w:tcW w:type="dxa" w:w="6912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Deployment &amp; Installation Guide (sections 1 to 8)</w:t>
            </w:r>
          </w:p>
        </w:tc>
        <w:trPr>
          <w:cantSplit/>
        </w:trPr>
      </w:tr>
      <w:tr>
        <w:tc>
          <w:tcPr>
            <w:tcW w:type="dxa" w:w="2304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Part II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Administrator &amp; Operations Manual (sections 9 to 15)</w:t>
            </w:r>
          </w:p>
        </w:tc>
        <w:trPr>
          <w:cantSplit/>
        </w:trPr>
      </w:tr>
      <w:tr>
        <w:tc>
          <w:tcPr>
            <w:tcW w:type="dxa" w:w="2304"/>
            <w:shd w:val="clear" w:color="auto" w:fill="F6F8FA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Version</w:t>
            </w:r>
          </w:p>
        </w:tc>
        <w:tc>
          <w:tcPr>
            <w:tcW w:type="dxa" w:w="6912"/>
            <w:shd w:val="clear" w:color="auto" w:fill="F6F8FA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1.0</w:t>
            </w:r>
          </w:p>
        </w:tc>
        <w:trPr>
          <w:cantSplit/>
        </w:trPr>
      </w:tr>
      <w:tr>
        <w:tc>
          <w:tcPr>
            <w:tcW w:type="dxa" w:w="2304"/>
            <w:vAlign w:val="center"/>
          </w:tcPr>
          <w:p>
            <w:pPr>
              <w:pStyle w:val="TableTerm"/>
              <w:spacing w:before="20" w:after="20" w:line="252" w:lineRule="auto"/>
            </w:pPr>
            <w:r>
              <w:t xml:space="preserve">Issued by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before="20" w:after="20" w:line="252" w:lineRule="auto"/>
            </w:pPr>
            <w:r>
              <w:t xml:space="preserve">Tekmonks</w:t>
            </w:r>
          </w:p>
        </w:tc>
        <w:trPr>
          <w:cantSplit/>
        </w:trPr>
      </w:tr>
    </w:tbl>
    <w:p>
      <w:pPr>
        <w:spacing w:before="0" w:after="120" w:line="240" w:lineRule="auto"/>
      </w:pPr>
    </w:p>
    <w:p>
      <w:pPr>
        <w:pStyle w:val="CoverRule"/>
        <w:spacing w:before="160" w:after="160"/>
      </w:pPr>
    </w:p>
    <w:p>
      <w:pPr>
        <w:spacing w:before="0" w:after="80" w:line="240" w:lineRule="auto"/>
        <w:jc w:val="center"/>
      </w:pPr>
      <w:r>
        <w:rPr>
          <w:noProof/>
        </w:rPr>
        <w:drawing>
          <wp:inline distT="0" distB="0" distL="0" distR="0">
            <wp:extent cx="658368" cy="340796"/>
            <wp:effectExtent l="0" t="0" r="0" b="0"/>
            <wp:docPr id="1023" name="Tekmo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Tekmonks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3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color w:val="5C6672"/>
          <w:sz w:val="19"/>
        </w:rPr>
        <w:t xml:space="preserve">Reflection · Administrator &amp; Operations Manual · Part II · Version 1.0</w:t>
      </w:r>
    </w:p>
    <w:p>
      <w:pPr>
        <w:spacing w:before="0" w:after="0" w:line="240" w:lineRule="auto"/>
        <w:jc w:val="center"/>
      </w:pPr>
      <w:r>
        <w:rPr>
          <w:color w:val="5C6672"/>
          <w:sz w:val="19"/>
        </w:rPr>
        <w:t xml:space="preserve">© Tekmonks. All rights reserved.</w:t>
      </w:r>
    </w:p>
    <w:sectPr>
      <w:headerReference w:type="default" r:id="rId26"/>
      <w:footerReference w:type="default" r:id="rId27"/>
      <w:pgSz w:w="12240" w:h="15840"/>
      <w:pgMar w:top="1368" w:right="1512" w:bottom="1224" w:left="1512" w:header="720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color w:val="5C6672"/>
        <w:sz w:val="17"/>
      </w:rPr>
      <w:t xml:space="preserve">Reflection  |  Administrator &amp; Operations Manual</w:t>
    </w:r>
    <w:r>
      <w:rPr>
        <w:color w:val="5C6672"/>
        <w:sz w:val="17"/>
      </w:rPr>
      <w:tab/>
    </w:r>
    <w:r>
      <w:rPr>
        <w:color w:val="5C6672"/>
        <w:sz w:val="17"/>
      </w:rPr>
      <w:t xml:space="preserve">Page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PAGE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  <w:r>
      <w:rPr>
        <w:color w:val="5C6672"/>
        <w:sz w:val="17"/>
      </w:rPr>
      <w:t xml:space="preserve"> of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NUMPAGES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b/>
        <w:color w:val="0A2647"/>
        <w:sz w:val="17"/>
        <w:spacing w:val="34"/>
      </w:rPr>
      <w:t>REFLECTION</w:t>
    </w:r>
    <w:r>
      <w:tab/>
    </w:r>
    <w:r>
      <w:rPr>
        <w:color w:val="5C6672"/>
        <w:sz w:val="17"/>
      </w:rPr>
      <w:t xml:space="preserve">Part II  ·  Administrator &amp;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00">
    <w:multiLevelType w:val="hybridMultilevel"/>
    <w:lvl w:ilvl="0">
      <w:start w:val="1"/>
      <w:numFmt w:val="bullet"/>
      <w:lvlText w:val="•"/>
      <w:lvlJc w:val="left"/>
      <w:pPr>
        <w:ind w:left="288" w:hanging="216"/>
      </w:pPr>
      <w:rPr>
        <w:rFonts w:ascii="Calibri" w:hAnsi="Calibri" w:hint="default"/>
        <w:color w:val="0E7C78"/>
      </w:rPr>
    </w:lvl>
    <w:lvl w:ilvl="1">
      <w:start w:val="1"/>
      <w:numFmt w:val="bullet"/>
      <w:lvlText w:val="–"/>
      <w:lvlJc w:val="left"/>
      <w:pPr>
        <w:ind w:left="605" w:hanging="202"/>
      </w:pPr>
      <w:rPr>
        <w:rFonts w:ascii="Calibri" w:hAnsi="Calibri" w:hint="default"/>
        <w:color w:val="5C6672"/>
      </w:rPr>
    </w:lvl>
    <w:lvl w:ilvl="2">
      <w:start w:val="1"/>
      <w:numFmt w:val="bullet"/>
      <w:lvlText w:val="•"/>
      <w:lvlJc w:val="left"/>
      <w:pPr>
        <w:ind w:left="922" w:hanging="202"/>
      </w:pPr>
      <w:rPr>
        <w:rFonts w:ascii="Calibri" w:hAnsi="Calibri" w:hint="default"/>
        <w:color w:val="5C6672"/>
      </w:rPr>
    </w:lvl>
  </w:abstractNum>
  <w:abstractNum w:abstractNumId="701">
    <w:multiLevelType w:val="hybridMultilevel"/>
    <w:lvl w:ilvl="0">
      <w:start w:val="1"/>
      <w:numFmt w:val="decimal"/>
      <w:lvlText w:val="%1."/>
      <w:lvlJc w:val="left"/>
      <w:pPr>
        <w:ind w:left="331" w:hanging="331"/>
      </w:pPr>
      <w:rPr>
        <w:rFonts w:ascii="Calibri" w:hAnsi="Calibri"/>
        <w:b w:val="1"/>
        <w:color w:val="0A2647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ascii="Calibri" w:hAnsi="Calibri"/>
        <w:b w:val="1"/>
        <w:color w:val="0A2647"/>
      </w:rPr>
    </w:lvl>
  </w:abstractNum>
  <w:abstractNum w:abstractNumId="702">
    <w:multiLevelType w:val="hybridMultilevel"/>
    <w:lvl w:ilvl="0">
      <w:start w:val="1"/>
      <w:numFmt w:val="bullet"/>
      <w:lvlText w:val=""/>
      <w:lvlJc w:val="left"/>
      <w:pPr>
        <w:ind w:left="302" w:hanging="230"/>
      </w:pPr>
      <w:rPr>
        <w:rFonts w:ascii="Wingdings" w:hAnsi="Wingdings" w:hint="default"/>
        <w:color w:val="0A2647"/>
        <w:sz w:val="20"/>
      </w:rPr>
    </w:lvl>
  </w:abstractNum>
  <w:abstractNum w:abstractNumId="703">
    <w:multiLevelType w:val="hybridMultilevel"/>
    <w:lvl w:ilvl="0">
      <w:start w:val="1"/>
      <w:numFmt w:val="bullet"/>
      <w:lvlText w:val="–"/>
      <w:lvlJc w:val="left"/>
      <w:pPr>
        <w:ind w:left="288" w:hanging="216"/>
      </w:pPr>
      <w:rPr>
        <w:rFonts w:ascii="Calibri" w:hAnsi="Calibri" w:hint="default"/>
        <w:color w:val="5C6672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1"/>
    <w:lvlOverride w:ilvl="0">
      <w:startOverride w:val="1"/>
    </w:lvlOverride>
  </w:num>
  <w:num w:numId="705">
    <w:abstractNumId w:val="7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pacing w:before="0" w:after="14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120" w:line="240" w:lineRule="auto" w:before="0"/>
      <w:ind w:left="0" w:right="0"/>
      <w:pBdr>
        <w:bottom w:val="single" w:sz="4" w:space="6" w:color="D7DDE4"/>
      </w:pBdr>
    </w:pPr>
    <w:rPr>
      <w:rFonts w:ascii="Calibri" w:hAnsi="Calibri" w:cs="Calibri" w:eastAsia="Calibri"/>
      <w:b w:val="0"/>
      <w:i w:val="0"/>
      <w:color w:val="5C6672"/>
      <w:sz w:val="17"/>
      <w:spacing w:val="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0" w:line="240" w:lineRule="auto" w:before="120"/>
      <w:ind w:left="0" w:right="0"/>
      <w:pBdr>
        <w:top w:val="single" w:sz="4" w:space="6" w:color="D7DDE4"/>
      </w:pBdr>
    </w:pPr>
    <w:rPr>
      <w:rFonts w:ascii="Calibri" w:hAnsi="Calibri" w:cs="Calibri" w:eastAsia="Calibri"/>
      <w:b w:val="0"/>
      <w:i w:val="0"/>
      <w:color w:val="5C6672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00" w:line="240" w:lineRule="auto"/>
      <w:ind w:left="0" w:right="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A2647"/>
      <w:sz w:val="54"/>
      <w:szCs w:val="28"/>
      <w:spacing w:val="-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400" w:after="160" w:line="252" w:lineRule="auto"/>
      <w:ind w:left="0" w:right="0"/>
      <w:outlineLvl w:val="1"/>
      <w:pBdr>
        <w:top w:val="single" w:sz="6" w:space="10" w:color="0E7C78"/>
      </w:pBdr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A2647"/>
      <w:sz w:val="34"/>
      <w:szCs w:val="26"/>
      <w:spacing w:val="-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80" w:after="100" w:line="264" w:lineRule="auto"/>
      <w:ind w:left="0" w:right="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D3E6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20" w:after="60"/>
      <w:ind w:left="0" w:right="0"/>
      <w:outlineLvl w:val="3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iCs/>
      <w:color w:val="1D3E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keepLines w:val="0"/>
      <w:pageBreakBefore w:val="0"/>
      <w:spacing w:before="0" w:after="80" w:line="278" w:lineRule="auto"/>
      <w:ind w:left="0" w:right="0"/>
      <w:contextualSpacing/>
    </w:pPr>
    <w:rPr>
      <w:rFonts w:ascii="Calibri" w:hAnsi="Calibri" w:cs="Calibri" w:eastAsia="Calibri"/>
      <w:b w:val="0"/>
      <w:i w:val="0"/>
      <w:color w:val="22282F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keepLines/>
      <w:pageBreakBefore w:val="0"/>
      <w:spacing w:line="276" w:lineRule="auto" w:before="240" w:after="100"/>
      <w:ind w:left="0" w:right="0"/>
    </w:pPr>
    <w:rPr>
      <w:rFonts w:ascii="Calibri" w:hAnsi="Calibri" w:cs="Calibri" w:eastAsia="Calibri"/>
      <w:b w:val="0"/>
      <w:bCs/>
      <w:i w:val="0"/>
      <w:color w:val="5C66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2026">
    <w:name w:val="Body Text 2026"/>
    <w:basedOn w:val="Normal"/>
    <w:qFormat/>
    <w:pPr>
      <w:keepNext w:val="0"/>
      <w:keepLines w:val="0"/>
      <w:pageBreakBefore w:val="0"/>
      <w:spacing w:before="0" w:after="16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Lead-in">
    <w:name w:val="Lead-in"/>
    <w:basedOn w:val="Normal"/>
    <w:qFormat/>
    <w:pPr>
      <w:keepNext/>
      <w:keepLines w:val="0"/>
      <w:pageBreakBefore w:val="0"/>
      <w:spacing w:before="0" w:after="8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CoverTitle">
    <w:name w:val="Cover Title"/>
    <w:qFormat/>
    <w:pPr>
      <w:keepNext w:val="0"/>
      <w:keepLines w:val="0"/>
      <w:pageBreakBefore w:val="0"/>
      <w:spacing w:before="0" w:after="120" w:line="240" w:lineRule="auto"/>
      <w:ind w:left="0" w:right="0"/>
      <w:jc w:val="center"/>
    </w:pPr>
    <w:rPr>
      <w:rFonts w:ascii="Calibri" w:hAnsi="Calibri" w:cs="Calibri" w:eastAsia="Calibri"/>
      <w:b/>
      <w:i w:val="0"/>
      <w:color w:val="0A2647"/>
      <w:sz w:val="60"/>
      <w:caps w:val="1"/>
      <w:spacing w:val="8"/>
    </w:rPr>
  </w:style>
  <w:style w:type="paragraph" w:customStyle="1" w:styleId="CoverSubtitle">
    <w:name w:val="Cover Subtitle"/>
    <w:qFormat/>
    <w:pPr>
      <w:keepNext w:val="0"/>
      <w:keepLines w:val="0"/>
      <w:pageBreakBefore w:val="0"/>
      <w:spacing w:before="0" w:after="40" w:line="300" w:lineRule="auto"/>
      <w:ind w:left="0" w:right="0"/>
      <w:jc w:val="center"/>
    </w:pPr>
    <w:rPr>
      <w:rFonts w:ascii="Calibri" w:hAnsi="Calibri" w:cs="Calibri" w:eastAsia="Calibri"/>
      <w:b w:val="0"/>
      <w:i w:val="0"/>
      <w:color w:val="5C6672"/>
      <w:sz w:val="22"/>
    </w:rPr>
  </w:style>
  <w:style w:type="paragraph" w:customStyle="1" w:styleId="CoverRule">
    <w:name w:val="Cover Rule"/>
    <w:qFormat/>
    <w:pPr>
      <w:keepNext w:val="0"/>
      <w:keepLines w:val="0"/>
      <w:pageBreakBefore w:val="0"/>
      <w:spacing w:before="200" w:after="280" w:line="240" w:lineRule="auto"/>
      <w:ind w:left="0" w:right="0"/>
      <w:jc w:val="center"/>
      <w:pBdr>
        <w:bottom w:val="single" w:sz="18" w:space="1" w:color="0E7C78"/>
      </w:pBdr>
    </w:pPr>
    <w:rPr>
      <w:rFonts w:ascii="Calibri" w:hAnsi="Calibri" w:cs="Calibri" w:eastAsia="Calibri"/>
      <w:b w:val="0"/>
      <w:i w:val="0"/>
      <w:color w:val="22282F"/>
      <w:sz w:val="4"/>
    </w:rPr>
  </w:style>
  <w:style w:type="paragraph" w:customStyle="1" w:styleId="FigureImage">
    <w:name w:val="Figure Image"/>
    <w:qFormat/>
    <w:pPr>
      <w:keepNext/>
      <w:keepLines w:val="0"/>
      <w:pageBreakBefore w:val="0"/>
      <w:spacing w:before="120" w:after="80" w:line="240" w:lineRule="auto"/>
      <w:ind w:left="0" w:right="0"/>
      <w:jc w:val="center"/>
    </w:pPr>
  </w:style>
  <w:style w:type="paragraph" w:customStyle="1" w:styleId="PartLabel">
    <w:name w:val="Part Label"/>
    <w:qFormat/>
    <w:pPr>
      <w:keepNext w:val="0"/>
      <w:keepLines w:val="0"/>
      <w:pageBreakBefore w:val="0"/>
      <w:spacing w:before="0" w:after="120" w:line="240" w:lineRule="auto"/>
      <w:ind w:left="0" w:right="0"/>
    </w:pPr>
    <w:rPr>
      <w:rFonts w:ascii="Calibri" w:hAnsi="Calibri" w:cs="Calibri" w:eastAsia="Calibri"/>
      <w:b/>
      <w:i w:val="0"/>
      <w:color w:val="0E7C78"/>
      <w:sz w:val="22"/>
      <w:caps w:val="1"/>
      <w:spacing w:val="44"/>
    </w:rPr>
  </w:style>
  <w:style w:type="paragraph" w:customStyle="1" w:styleId="PartSummary">
    <w:name w:val="Part Summary"/>
    <w:qFormat/>
    <w:pPr>
      <w:keepNext w:val="0"/>
      <w:keepLines w:val="0"/>
      <w:pageBreakBefore w:val="0"/>
      <w:spacing w:before="120" w:after="80" w:line="312" w:lineRule="auto"/>
      <w:ind w:left="0" w:right="0"/>
    </w:pPr>
    <w:rPr>
      <w:rFonts w:ascii="Calibri" w:hAnsi="Calibri" w:cs="Calibri" w:eastAsia="Calibri"/>
      <w:b w:val="0"/>
      <w:i w:val="0"/>
      <w:color w:val="5C6672"/>
      <w:sz w:val="22"/>
    </w:rPr>
  </w:style>
  <w:style w:type="paragraph" w:customStyle="1" w:styleId="CodeBlock">
    <w:name w:val="Code Block"/>
    <w:qFormat/>
    <w:pPr>
      <w:keepNext w:val="0"/>
      <w:keepLines/>
      <w:pageBreakBefore w:val="0"/>
      <w:spacing w:before="140" w:after="180" w:line="288" w:lineRule="auto"/>
      <w:ind w:left="245" w:right="86"/>
      <w:shd w:val="clear" w:color="auto" w:fill="F5F7FA"/>
      <w:pBdr>
        <w:top w:val="single" w:sz="4" w:space="6" w:color="E1E7EE"/>
        <w:left w:val="single" w:sz="24" w:space="8" w:color="0E7C78"/>
        <w:bottom w:val="single" w:sz="4" w:space="6" w:color="E1E7EE"/>
        <w:right w:val="single" w:sz="4" w:space="6" w:color="E1E7EE"/>
      </w:pBdr>
    </w:pPr>
    <w:rPr>
      <w:rFonts w:ascii="Consolas" w:hAnsi="Consolas" w:cs="Consolas" w:eastAsia="Consolas"/>
      <w:b w:val="0"/>
      <w:i w:val="0"/>
      <w:color w:val="1B2733"/>
      <w:sz w:val="17"/>
    </w:rPr>
  </w:style>
  <w:style w:type="character" w:customStyle="1" w:styleId="CodeInline">
    <w:name w:val="Code Inline"/>
    <w:qFormat/>
    <w:rPr>
      <w:rFonts w:ascii="Consolas" w:hAnsi="Consolas" w:cs="Consolas" w:eastAsia="Consolas"/>
      <w:b w:val="0"/>
      <w:i w:val="0"/>
      <w:color w:val="1D3E63"/>
      <w:sz w:val="18"/>
    </w:rPr>
  </w:style>
  <w:style w:type="character" w:customStyle="1" w:styleId="CodeInlineSmall">
    <w:name w:val="Code Inline Small"/>
    <w:qFormat/>
    <w:rPr>
      <w:rFonts w:ascii="Consolas" w:hAnsi="Consolas" w:cs="Consolas" w:eastAsia="Consolas"/>
      <w:b w:val="0"/>
      <w:i w:val="0"/>
      <w:color w:val="1D3E63"/>
      <w:sz w:val="16"/>
    </w:rPr>
  </w:style>
  <w:style w:type="character" w:customStyle="1" w:styleId="KeyTerm">
    <w:name w:val="Key Term"/>
    <w:qFormat/>
    <w:rPr>
      <w:rFonts w:ascii="Consolas" w:hAnsi="Consolas" w:cs="Consolas" w:eastAsia="Consolas"/>
      <w:b/>
      <w:i w:val="0"/>
      <w:color w:val="0A2647"/>
      <w:sz w:val="18"/>
    </w:rPr>
  </w:style>
  <w:style w:type="paragraph" w:customStyle="1" w:styleId="CaptionBelow">
    <w:name w:val="Caption Below"/>
    <w:basedOn w:val="Caption"/>
    <w:qFormat/>
    <w:pPr>
      <w:keepNext w:val="0"/>
      <w:keepLines/>
      <w:pageBreakBefore w:val="0"/>
      <w:spacing w:before="100" w:after="240" w:line="276" w:lineRule="auto"/>
      <w:ind w:left="0" w:right="0"/>
      <w:jc w:val="center"/>
    </w:pPr>
    <w:rPr>
      <w:rFonts w:ascii="Calibri" w:hAnsi="Calibri" w:cs="Calibri" w:eastAsia="Calibri"/>
      <w:b w:val="0"/>
      <w:i w:val="0"/>
      <w:color w:val="5C6672"/>
      <w:sz w:val="18"/>
    </w:rPr>
  </w:style>
  <w:style w:type="character" w:customStyle="1" w:styleId="CaptionLabel">
    <w:name w:val="Caption Label"/>
    <w:qFormat/>
    <w:rPr>
      <w:rFonts w:ascii="Calibri" w:hAnsi="Calibri" w:cs="Calibri" w:eastAsia="Calibri"/>
      <w:b/>
      <w:i w:val="0"/>
      <w:color w:val="0A2647"/>
      <w:sz w:val="18"/>
    </w:rPr>
  </w:style>
  <w:style w:type="paragraph" w:customStyle="1" w:styleId="FlowDiagram">
    <w:name w:val="Flow Diagram"/>
    <w:qFormat/>
    <w:pPr>
      <w:keepNext/>
      <w:keepLines/>
      <w:pageBreakBefore w:val="0"/>
      <w:spacing w:before="160" w:after="40" w:line="312" w:lineRule="auto"/>
      <w:ind w:left="0" w:right="0"/>
      <w:jc w:val="center"/>
      <w:shd w:val="clear" w:color="auto" w:fill="F4F7FA"/>
      <w:pBdr>
        <w:top w:val="single" w:sz="4" w:space="10" w:color="D7DDE4"/>
        <w:left w:val="single" w:sz="4" w:space="10" w:color="D7DDE4"/>
        <w:bottom w:val="single" w:sz="4" w:space="10" w:color="D7DDE4"/>
        <w:right w:val="single" w:sz="4" w:space="10" w:color="D7DDE4"/>
      </w:pBdr>
    </w:pPr>
    <w:rPr>
      <w:rFonts w:ascii="Consolas" w:hAnsi="Consolas" w:cs="Consolas" w:eastAsia="Consolas"/>
      <w:b/>
      <w:i w:val="0"/>
      <w:color w:val="0A2647"/>
      <w:sz w:val="18"/>
    </w:rPr>
  </w:style>
  <w:style w:type="paragraph" w:customStyle="1" w:styleId="TableText">
    <w:name w:val="Table Text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alibri" w:hAnsi="Calibri" w:cs="Calibri" w:eastAsia="Calibri"/>
      <w:b w:val="0"/>
      <w:i w:val="0"/>
      <w:color w:val="22282F"/>
      <w:sz w:val="19"/>
    </w:rPr>
  </w:style>
  <w:style w:type="paragraph" w:customStyle="1" w:styleId="TableHead">
    <w:name w:val="Table Head"/>
    <w:qFormat/>
    <w:pPr>
      <w:keepNext/>
      <w:keepLines w:val="0"/>
      <w:pageBreakBefore w:val="0"/>
      <w:spacing w:before="80" w:after="80" w:line="252" w:lineRule="auto"/>
      <w:ind w:left="0" w:right="0"/>
    </w:pPr>
    <w:rPr>
      <w:rFonts w:ascii="Calibri" w:hAnsi="Calibri" w:cs="Calibri" w:eastAsia="Calibri"/>
      <w:b/>
      <w:i w:val="0"/>
      <w:color w:val="FFFFFF"/>
      <w:sz w:val="19"/>
    </w:rPr>
  </w:style>
  <w:style w:type="paragraph" w:customStyle="1" w:styleId="TableTerm">
    <w:name w:val="Table Term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alibri" w:hAnsi="Calibri" w:cs="Calibri" w:eastAsia="Calibri"/>
      <w:b/>
      <w:i w:val="0"/>
      <w:color w:val="0A2647"/>
      <w:sz w:val="19"/>
    </w:rPr>
  </w:style>
  <w:style w:type="paragraph" w:customStyle="1" w:styleId="TableKey">
    <w:name w:val="Table Key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onsolas" w:hAnsi="Consolas" w:cs="Consolas" w:eastAsia="Consolas"/>
      <w:b/>
      <w:i w:val="0"/>
      <w:color w:val="0A2647"/>
      <w:sz w:val="16"/>
    </w:rPr>
  </w:style>
  <w:style w:type="paragraph" w:customStyle="1" w:styleId="CalloutLabel">
    <w:name w:val="Callout Label"/>
    <w:qFormat/>
    <w:pPr>
      <w:keepNext/>
      <w:keepLines w:val="0"/>
      <w:pageBreakBefore w:val="0"/>
      <w:spacing w:before="20" w:after="60" w:line="240" w:lineRule="auto"/>
      <w:ind w:left="0" w:right="0"/>
    </w:pPr>
    <w:rPr>
      <w:rFonts w:ascii="Calibri" w:hAnsi="Calibri" w:cs="Calibri" w:eastAsia="Calibri"/>
      <w:b/>
      <w:i w:val="0"/>
      <w:color w:val="1D3E63"/>
      <w:sz w:val="17"/>
      <w:caps w:val="1"/>
      <w:spacing w:val="24"/>
    </w:rPr>
  </w:style>
  <w:style w:type="paragraph" w:customStyle="1" w:styleId="CalloutBody">
    <w:name w:val="Callout Body"/>
    <w:qFormat/>
    <w:pPr>
      <w:keepNext w:val="0"/>
      <w:keepLines w:val="0"/>
      <w:pageBreakBefore w:val="0"/>
      <w:spacing w:before="0" w:after="20" w:line="276" w:lineRule="auto"/>
      <w:ind w:left="0" w:right="0"/>
    </w:pPr>
    <w:rPr>
      <w:rFonts w:ascii="Calibri" w:hAnsi="Calibri" w:cs="Calibri" w:eastAsia="Calibri"/>
      <w:b w:val="0"/>
      <w:i w:val="0"/>
      <w:color w:val="22282F"/>
      <w:sz w:val="20"/>
    </w:rPr>
  </w:style>
  <w:style w:type="paragraph" w:customStyle="1" w:styleId="TOCHeadingRef">
    <w:name w:val="TOC Heading Ref"/>
    <w:qFormat/>
  </w:style>
  <w:style w:type="paragraph" w:customStyle="1" w:styleId="TOC1">
    <w:name w:val="TOC 1"/>
    <w:basedOn w:val="Normal"/>
    <w:qFormat/>
    <w:pPr>
      <w:keepNext w:val="0"/>
      <w:keepLines w:val="0"/>
      <w:pageBreakBefore w:val="0"/>
      <w:spacing w:before="240" w:after="60" w:line="264" w:lineRule="auto"/>
      <w:ind w:left="0" w:right="0"/>
      <w:tabs>
        <w:tab w:val="right" w:leader="dot" w:pos="9180"/>
      </w:tabs>
    </w:pPr>
    <w:rPr>
      <w:rFonts w:ascii="Calibri" w:hAnsi="Calibri" w:cs="Calibri" w:eastAsia="Calibri"/>
      <w:b/>
      <w:i w:val="0"/>
      <w:color w:val="0A2647"/>
      <w:sz w:val="23"/>
    </w:rPr>
  </w:style>
  <w:style w:type="paragraph" w:customStyle="1" w:styleId="TOC2">
    <w:name w:val="TOC 2"/>
    <w:basedOn w:val="Normal"/>
    <w:qFormat/>
    <w:pPr>
      <w:keepNext w:val="0"/>
      <w:keepLines w:val="0"/>
      <w:pageBreakBefore w:val="0"/>
      <w:spacing w:before="60" w:after="40" w:line="264" w:lineRule="auto"/>
      <w:ind w:left="259" w:right="0"/>
      <w:tabs>
        <w:tab w:val="right" w:leader="dot" w:pos="9180"/>
      </w:tabs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TOC3">
    <w:name w:val="TOC 3"/>
    <w:basedOn w:val="Normal"/>
    <w:qFormat/>
    <w:pPr>
      <w:keepNext w:val="0"/>
      <w:keepLines w:val="0"/>
      <w:pageBreakBefore w:val="0"/>
      <w:spacing w:before="20" w:after="20" w:line="264" w:lineRule="auto"/>
      <w:ind w:left="662" w:right="0"/>
      <w:tabs>
        <w:tab w:val="right" w:leader="dot" w:pos="9180"/>
      </w:tabs>
    </w:pPr>
    <w:rPr>
      <w:rFonts w:ascii="Calibri" w:hAnsi="Calibri" w:cs="Calibri" w:eastAsia="Calibri"/>
      <w:b w:val="0"/>
      <w:i w:val="0"/>
      <w:color w:val="5C6672"/>
      <w:sz w:val="19"/>
    </w:rPr>
  </w:style>
  <w:style w:type="character" w:customStyle="1" w:styleId="TocLink">
    <w:name w:val="TocLink"/>
    <w:qFormat/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ContentsHead">
    <w:name w:val="Contents Head"/>
    <w:basedOn w:val="Normal"/>
    <w:pPr>
      <w:keepNext/>
      <w:keepLines w:val="0"/>
      <w:pageBreakBefore w:val="0"/>
      <w:spacing w:before="0" w:after="200"/>
      <w:ind w:left="0" w:right="0"/>
      <w:pBdr>
        <w:bottom w:val="single" w:sz="6" w:space="8" w:color="0E7C78"/>
      </w:pBdr>
    </w:pPr>
    <w:rPr>
      <w:rFonts w:ascii="Calibri" w:hAnsi="Calibri" w:cs="Calibri" w:eastAsia="Calibri"/>
      <w:b/>
      <w:i w:val="0"/>
      <w:color w:val="0A2647"/>
      <w:sz w:val="34"/>
      <w:spacing w:val="-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26" Type="http://schemas.openxmlformats.org/officeDocument/2006/relationships/header" Target="header8.xml"/><Relationship Id="rId27" Type="http://schemas.openxmlformats.org/officeDocument/2006/relationships/footer" Target="footer8.xml"/><Relationship Id="rId101" Type="http://schemas.openxmlformats.org/officeDocument/2006/relationships/image" Target="media/cover-white.png"/><Relationship Id="rId102" Type="http://schemas.openxmlformats.org/officeDocument/2006/relationships/image" Target="media/tekmonks-trans.png"/><Relationship Id="rId103" Type="http://schemas.openxmlformats.org/officeDocument/2006/relationships/image" Target="media/mascot-white-cover.png"/><Relationship Id="rId104" Type="http://schemas.openxmlformats.org/officeDocument/2006/relationships/image" Target="media/tekmonks-tran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 — Administrator &amp; Operations Manual</dc:title>
  <dc:subject>Reflection administration and operations</dc:subject>
  <dc:creator>Tekmonks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>Product manual</cp:category>
</cp:coreProperties>
</file>