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mc:Ignorable="w14 wp14">
  <w:body>
    <w:p>
      <w:pPr>
        <w:spacing w:before="0" w:after="0" w:line="240" w:lineRule="auto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25" name="Black cover ar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Black cover artwork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right" w:pos="9216"/>
        </w:tabs>
        <w:spacing w:before="200" w:after="0" w:line="240" w:lineRule="auto"/>
      </w:pPr>
      <w:r>
        <w:rPr>
          <w:noProof/>
        </w:rPr>
        <w:drawing>
          <wp:inline distT="0" distB="0" distL="0" distR="0">
            <wp:extent cx="868680" cy="450342"/>
            <wp:effectExtent l="0" t="0" r="0" b="0"/>
            <wp:docPr id="1027" name="Tekmo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Tekmonks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45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color w:val="8FA0B2"/>
          <w:sz w:val="15"/>
          <w:caps w:val="1"/>
          <w:spacing w:val="18"/>
        </w:rPr>
        <w:t xml:space="preserve">Installation &amp; Operation Guide</w:t>
      </w:r>
    </w:p>
    <w:p>
      <w:pPr>
        <w:spacing w:before="0" w:after="2400" w:line="240" w:lineRule="auto"/>
      </w:pPr>
    </w:p>
    <w:p>
      <w:pPr>
        <w:spacing w:before="0" w:after="0" w:line="240" w:lineRule="auto"/>
        <w:jc w:val="center"/>
      </w:pPr>
      <w:r>
        <w:rPr>
          <w:b/>
          <w:color w:val="FFFFFF"/>
          <w:sz w:val="58"/>
          <w:caps w:val="1"/>
          <w:spacing w:val="10"/>
        </w:rPr>
        <w:t xml:space="preserve">Reflection</w:t>
      </w:r>
    </w:p>
    <w:p>
      <w:pPr>
        <w:spacing w:before="0" w:after="300" w:line="240" w:lineRule="auto"/>
        <w:jc w:val="center"/>
      </w:pPr>
      <w:r>
        <w:rPr>
          <w:b/>
          <w:color w:val="2DCDB6"/>
          <w:sz w:val="58"/>
          <w:caps w:val="1"/>
          <w:spacing w:val="10"/>
        </w:rPr>
        <w:t xml:space="preserve">Controller</w:t>
      </w:r>
    </w:p>
    <w:p>
      <w:pPr>
        <w:pStyle w:val="CoverRule"/>
        <w:spacing w:before="240" w:after="260"/>
      </w:pPr>
    </w:p>
    <w:p>
      <w:pPr>
        <w:spacing w:before="0" w:after="0" w:line="240" w:lineRule="auto"/>
        <w:jc w:val="center"/>
      </w:pPr>
      <w:r>
        <w:rPr>
          <w:color w:val="2DCDB6"/>
          <w:sz w:val="18"/>
          <w:caps w:val="1"/>
          <w:spacing w:val="16"/>
        </w:rPr>
        <w:t xml:space="preserve">Installation &amp; Operation Guide  ·  Version 1.0</w:t>
      </w:r>
    </w:p>
    <w:p>
      <w:pPr>
        <w:spacing w:before="0" w:after="100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0" w:type="dxa"/>
          <w:left w:w="0" w:type="dxa"/>
          <w:bottom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72"/>
        <w:gridCol w:w="3072"/>
        <w:gridCol w:w="3072"/>
      </w:tblGrid>
      <w:tr>
        <w:tc>
          <w:tcPr>
            <w:tcW w:type="dxa" w:w="3072"/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>
            <w:pPr>
              <w:spacing w:before="0" w:after="14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0352" cy="530352"/>
                  <wp:effectExtent l="0" t="0" r="0" b="0"/>
                  <wp:docPr id="1029" name="Web-Ba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Web-Based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caps w:val="1"/>
                <w:spacing w:val="30"/>
              </w:rPr>
              <w:t xml:space="preserve">Web-Based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8FA0B2"/>
                <w:sz w:val="19"/>
                <w:caps w:val="1"/>
                <w:spacing w:val="30"/>
              </w:rPr>
              <w:t xml:space="preserve">Control Panel</w:t>
            </w:r>
          </w:p>
        </w:tc>
        <w:tc>
          <w:tcPr>
            <w:tcW w:type="dxa" w:w="3072"/>
            <w:tcBorders>
              <w:left w:val="single" w:sz="4" w:space="0" w:color="2A3646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>
            <w:pPr>
              <w:spacing w:before="0" w:after="14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0352" cy="530352"/>
                  <wp:effectExtent l="0" t="0" r="0" b="0"/>
                  <wp:docPr id="1031" name="Start / S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Start / Stop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caps w:val="1"/>
                <w:spacing w:val="30"/>
              </w:rPr>
              <w:t xml:space="preserve">Start / Stop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8FA0B2"/>
                <w:sz w:val="19"/>
                <w:caps w:val="1"/>
                <w:spacing w:val="30"/>
              </w:rPr>
              <w:t xml:space="preserve">Control</w:t>
            </w:r>
          </w:p>
        </w:tc>
        <w:tc>
          <w:tcPr>
            <w:tcW w:type="dxa" w:w="3072"/>
            <w:tcBorders>
              <w:left w:val="single" w:sz="4" w:space="0" w:color="2A3646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top"/>
          </w:tcPr>
          <w:p>
            <w:pPr>
              <w:spacing w:before="0" w:after="14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30352" cy="530352"/>
                  <wp:effectExtent l="0" t="0" r="0" b="0"/>
                  <wp:docPr id="1033" name="Guid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Guided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5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caps w:val="1"/>
                <w:spacing w:val="30"/>
              </w:rPr>
              <w:t xml:space="preserve">Guided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color w:val="8FA0B2"/>
                <w:sz w:val="19"/>
                <w:caps w:val="1"/>
                <w:spacing w:val="30"/>
              </w:rPr>
              <w:t xml:space="preserve">Setup</w:t>
            </w:r>
          </w:p>
        </w:tc>
        <w:trPr>
          <w:cantSplit/>
        </w:trPr>
      </w:tr>
    </w:tbl>
    <w:p>
      <w:pPr>
        <w:spacing w:before="0" w:after="900" w:line="240" w:lineRule="auto"/>
      </w:pPr>
    </w:p>
    <w:p>
      <w:pPr>
        <w:spacing w:before="0" w:after="0" w:line="260" w:lineRule="auto"/>
        <w:jc w:val="center"/>
      </w:pPr>
      <w:r>
        <w:rPr>
          <w:color w:val="8FA0B2"/>
          <w:sz w:val="20"/>
        </w:rPr>
        <w:t xml:space="preserve">Purpose · Prerequisites · Installation</w:t>
      </w:r>
    </w:p>
    <w:p>
      <w:pPr>
        <w:spacing w:before="0" w:after="0" w:line="260" w:lineRule="auto"/>
        <w:jc w:val="center"/>
      </w:pPr>
      <w:r>
        <w:rPr>
          <w:color w:val="8FA0B2"/>
          <w:sz w:val="20"/>
        </w:rPr>
        <w:t xml:space="preserve">Using the Controller · Verification</w:t>
      </w:r>
    </w:p>
    <w:p>
      <w:pPr>
        <w:spacing w:before="0" w:after="1000" w:line="240" w:lineRule="auto"/>
      </w:pPr>
    </w:p>
    <w:p>
      <w:pPr>
        <w:tabs>
          <w:tab w:val="right" w:pos="9216"/>
        </w:tabs>
        <w:spacing w:before="0" w:after="0" w:line="240" w:lineRule="auto"/>
        <w:sectPr>
          <w:headerReference w:type="default" r:id="rId12"/>
          <w:footerReference w:type="default" r:id="rId13"/>
          <w:pgSz w:w="12240" w:h="15840"/>
          <w:pgMar w:top="1440" w:right="1440" w:bottom="1080" w:left="1440" w:header="0" w:footer="0" w:gutter="0"/>
          <w:cols w:space="720"/>
          <w:docGrid w:linePitch="360"/>
        </w:sectPr>
      </w:pPr>
      <w:r>
        <w:rPr>
          <w:b/>
          <w:color w:val="FFFFFF"/>
          <w:sz w:val="19"/>
          <w:caps w:val="1"/>
          <w:spacing w:val="52"/>
        </w:rPr>
        <w:t xml:space="preserve">Tekmonks</w:t>
      </w:r>
      <w:r>
        <w:tab/>
      </w:r>
      <w:r>
        <w:rPr>
          <w:color w:val="8FA0B2"/>
          <w:sz w:val="19"/>
          <w:caps w:val="1"/>
          <w:spacing w:val="40"/>
        </w:rPr>
        <w:t xml:space="preserve">Reflection Controller</w:t>
      </w:r>
    </w:p>
    <w:p>
      <w:pPr>
        <w:pStyle w:val="Heading2"/>
      </w:pPr>
      <w:r>
        <w:t xml:space="preserve">1  Purpose</w:t>
      </w:r>
    </w:p>
    <w:p>
      <w:pPr>
        <w:pStyle w:val="BodyText2026"/>
      </w:pPr>
      <w:r>
        <w:t xml:space="preserve">The Controller provides a web-based interface to start and stop the Reflection service. This manual covers the complete setup of the Controller on a client machine, along with the steps required to start and use it afterward.</w:t>
      </w:r>
    </w:p>
    <w:p>
      <w:pPr>
        <w:pStyle w:val="Heading2"/>
      </w:pPr>
      <w:r>
        <w:t xml:space="preserve">2  Prerequisites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t xml:space="preserve">A pendrive/CD/DVD containing the Controller setup zip file ("giz" package).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t xml:space="preserve">Access to the target VM/server with a user account that has permission to run shell commands.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t xml:space="preserve">Node.js — a bundled runtime is provided with the package, so a separate global installation is not required (see the note in Section 4).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rPr>
          <w:b/>
        </w:rPr>
        <w:t xml:space="preserve">Controller should be on the same vm where reflector is deployed</w:t>
      </w:r>
    </w:p>
    <w:p>
      <w:pPr>
        <w:pStyle w:val="Heading2"/>
      </w:pPr>
      <w:r>
        <w:t xml:space="preserve">3  Installation Steps</w:t>
      </w:r>
    </w:p>
    <w:p>
      <w:pPr>
        <w:pStyle w:val="Heading3"/>
      </w:pPr>
      <w:r>
        <w:t xml:space="preserve">Step 1.  Copy the setup package</w:t>
      </w:r>
    </w:p>
    <w:p>
      <w:pPr>
        <w:pStyle w:val="BodyText2026"/>
      </w:pPr>
      <w:r>
        <w:t xml:space="preserve">Copy the zip file onto the target machine.</w:t>
      </w:r>
    </w:p>
    <w:p>
      <w:pPr>
        <w:pStyle w:val="Heading3"/>
      </w:pPr>
      <w:r>
        <w:t xml:space="preserve">Step 2.  Extract the package</w:t>
      </w:r>
    </w:p>
    <w:p>
      <w:pPr>
        <w:pStyle w:val="BodyText2026"/>
      </w:pPr>
      <w:r>
        <w:t xml:space="preserve">Change into the "giz" directory and extract the archive:</w:t>
      </w:r>
    </w:p>
    <w:p>
      <w:pPr>
        <w:pStyle w:val="CodeBlock"/>
      </w:pPr>
      <w:r>
        <w:t xml:space="preserve">cd &lt;giz directory&gt;</w:t>
      </w:r>
      <w:r>
        <w:br/>
      </w:r>
      <w:r>
        <w:t xml:space="preserve">tar -xzvf &lt;giz name&gt;</w:t>
      </w:r>
    </w:p>
    <w:p>
      <w:pPr>
        <w:pStyle w:val="Heading3"/>
      </w:pPr>
      <w:r>
        <w:t xml:space="preserve">Step 3.  Move into the Controller setup directory</w:t>
      </w:r>
    </w:p>
    <w:p>
      <w:pPr>
        <w:pStyle w:val="BodyText2026"/>
      </w:pPr>
      <w:r>
        <w:t xml:space="preserve">Change into the extracted </w:t>
      </w:r>
      <w:r>
        <w:rPr>
          <w:rStyle w:val="CodeInline"/>
        </w:rPr>
        <w:t xml:space="preserve">controllerSetup</w:t>
      </w:r>
      <w:r>
        <w:t xml:space="preserve"> directory.</w:t>
      </w:r>
    </w:p>
    <w:p>
      <w:pPr>
        <w:pStyle w:val="CodeBlock"/>
      </w:pPr>
      <w:r>
        <w:t xml:space="preserve">cd controllerSetup</w:t>
      </w:r>
    </w:p>
    <w:p>
      <w:pPr>
        <w:pStyle w:val="Heading3"/>
      </w:pPr>
      <w:r>
        <w:t xml:space="preserve">Step 4.  Refresh the Monkshu symlink</w:t>
      </w:r>
    </w:p>
    <w:p>
      <w:pPr>
        <w:pStyle w:val="BodyText2026"/>
      </w:pPr>
      <w:r>
        <w:t xml:space="preserve">Remove the old Monkshu symlink for </w:t>
      </w:r>
      <w:r>
        <w:rPr>
          <w:rStyle w:val="CodeInline"/>
        </w:rPr>
        <w:t xml:space="preserve">controller-backend</w:t>
      </w:r>
      <w:r>
        <w:t xml:space="preserve"> and create a new one:</w:t>
      </w:r>
    </w:p>
    <w:p>
      <w:pPr>
        <w:pStyle w:val="CodeBlock"/>
      </w:pPr>
      <w:r>
        <w:t xml:space="preserve">./monkshu/rmlink controller-backend</w:t>
      </w:r>
      <w:r>
        <w:br/>
      </w:r>
      <w:r>
        <w:t xml:space="preserve">./monkshu/mklink controller-backend</w:t>
      </w:r>
    </w:p>
    <w:p>
      <w:pPr>
        <w:pStyle w:val="Heading3"/>
      </w:pPr>
      <w:r>
        <w:t xml:space="preserve">Step 5.  Configure the controller-backend hostname</w:t>
      </w:r>
    </w:p>
    <w:p>
      <w:pPr>
        <w:pStyle w:val="BodyText2026"/>
      </w:pPr>
      <w:r>
        <w:t xml:space="preserve">Edit the hostname configuration file and set the correct hostname for this deployment:</w:t>
      </w:r>
    </w:p>
    <w:p>
      <w:pPr>
        <w:pStyle w:val="CodeBlock"/>
      </w:pPr>
      <w:r>
        <w:t xml:space="preserve">controller-backend/backend/apps/controller-backend/conf/hostname.json</w:t>
      </w:r>
    </w:p>
    <w:p>
      <w:pPr>
        <w:pStyle w:val="Heading3"/>
      </w:pPr>
      <w:r>
        <w:t xml:space="preserve">Step 6.  Configure SSL for controller-backend (if required)</w:t>
      </w:r>
    </w:p>
    <w:p>
      <w:pPr>
        <w:pStyle w:val="BodyText2026"/>
      </w:pPr>
      <w:r>
        <w:t xml:space="preserve">If SSL is required for this deployment, edit the SSL configuration file accordingly:</w:t>
      </w:r>
    </w:p>
    <w:p>
      <w:pPr>
        <w:pStyle w:val="CodeBlock"/>
      </w:pPr>
      <w:r>
        <w:t xml:space="preserve">controller-backend/backend/apps/controller-backend/conf/httpd.json</w:t>
      </w:r>
    </w:p>
    <w:p>
      <w:pPr>
        <w:pStyle w:val="Heading3"/>
      </w:pPr>
      <w:r>
        <w:t xml:space="preserve">Step 7.  Configure the Controller environment file</w:t>
      </w:r>
    </w:p>
    <w:p>
      <w:pPr>
        <w:pStyle w:val="BodyText2026"/>
      </w:pPr>
      <w:r>
        <w:t xml:space="preserve">Edit the Controller's </w:t>
      </w:r>
      <w:r>
        <w:rPr>
          <w:rStyle w:val="CodeInline"/>
        </w:rPr>
        <w:t xml:space="preserve">.env</w:t>
      </w:r>
      <w:r>
        <w:t xml:space="preserve"> file to set the host, port, and protocol for the UI, as well as the host and protocol for controller-backend — matching whatever SSL configuration was set in Step 6:</w:t>
      </w:r>
    </w:p>
    <w:p>
      <w:pPr>
        <w:pStyle w:val="CodeBlock"/>
      </w:pPr>
      <w:r>
        <w:t xml:space="preserve">reflection-controller/.env</w:t>
      </w:r>
    </w:p>
    <w:p>
      <w:pPr>
        <w:pStyle w:val="Heading3"/>
      </w:pPr>
      <w:r>
        <w:t xml:space="preserve">Step 8.  Rebuild npm packages</w:t>
      </w:r>
    </w:p>
    <w:p>
      <w:pPr>
        <w:pStyle w:val="BodyText2026"/>
      </w:pPr>
      <w:r>
        <w:t xml:space="preserve">Run the install script to rebuild the required npm packages:</w:t>
      </w:r>
    </w:p>
    <w:p>
      <w:pPr>
        <w:pStyle w:val="CodeBlock"/>
      </w:pPr>
      <w:r>
        <w:t xml:space="preserve">./install.sh</w:t>
      </w:r>
    </w:p>
    <w:p>
      <w:pPr>
        <w:pStyle w:val="Heading3"/>
      </w:pPr>
      <w:r>
        <w:t xml:space="preserve">Step 9.  Update the Crashguard configuration</w:t>
      </w:r>
    </w:p>
    <w:p>
      <w:pPr>
        <w:pStyle w:val="BodyText2026"/>
      </w:pPr>
      <w:r>
        <w:t xml:space="preserve">Edit the Crashguard process configuration and set the correct paths for Monkshu, reflection-controller, and Node:</w:t>
      </w:r>
    </w:p>
    <w:p>
      <w:pPr>
        <w:pStyle w:val="CodeBlock"/>
      </w:pPr>
      <w:r>
        <w:t xml:space="preserve">./crashguard/conf/process.json</w:t>
      </w:r>
    </w:p>
    <w:p>
      <w:pPr>
        <w:pStyle w:val="Heading3"/>
      </w:pPr>
      <w:r>
        <w:t xml:space="preserve">Step 10.  Provide sudo privileges to the VM user for stop/restart commands only</w:t>
      </w:r>
    </w:p>
    <w:p>
      <w:pPr>
        <w:pStyle w:val="BodyText2026"/>
      </w:pPr>
      <w:r>
        <w:t xml:space="preserve">Follow the instructions in the Reflection Controller README to grant the VM user sudo privileges to run only the stop and restart commands:</w:t>
      </w:r>
    </w:p>
    <w:p>
      <w:pPr>
        <w:pStyle w:val="CodeBlock"/>
      </w:pPr>
      <w:r>
        <w:t xml:space="preserve">./reflection-controller/README.md</w:t>
      </w:r>
    </w:p>
    <w:p>
      <w:pPr>
        <w:pStyle w:val="Heading3"/>
      </w:pPr>
      <w:r>
        <w:t xml:space="preserve">Step 11.  Configure the Reflection service name</w:t>
      </w:r>
    </w:p>
    <w:p>
      <w:pPr>
        <w:pStyle w:val="BodyText2026"/>
      </w:pPr>
      <w:r>
        <w:t xml:space="preserve">Edit the controller-backend service configuration and set the Reflection service name. This name must match the service name permitted in the command allow-list configured in Step 10:</w:t>
      </w:r>
    </w:p>
    <w:p>
      <w:pPr>
        <w:pStyle w:val="CodeBlock"/>
      </w:pPr>
      <w:r>
        <w:t xml:space="preserve">./controller-backend/backend/apps/controller-backend/conf/service.json</w:t>
      </w:r>
    </w:p>
    <w:p>
      <w:pPr>
        <w:pStyle w:val="Heading3"/>
      </w:pPr>
      <w:r>
        <w:t xml:space="preserve">Step 12.  Launch the Controller</w:t>
      </w:r>
    </w:p>
    <w:p>
      <w:pPr>
        <w:pStyle w:val="BodyText2026"/>
      </w:pPr>
      <w:r>
        <w:t xml:space="preserve">Run Crashguard to launch both the Controller's backend and frontend:</w:t>
      </w:r>
    </w:p>
    <w:p>
      <w:pPr>
        <w:pStyle w:val="CodeBlock"/>
      </w:pPr>
      <w:r>
        <w:t xml:space="preserve">./crashguard/crashguard.js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110" w:type="dxa"/>
          <w:left w:w="180" w:type="dxa"/>
          <w:bottom w:w="130" w:type="dxa"/>
          <w:right w:w="150" w:type="dxa"/>
        </w:tblCellMar>
        <w:tblBorders>
          <w:top w:val="single" w:sz="4" w:space="0" w:color="0E7C78"/>
          <w:left w:val="single" w:sz="30" w:space="0" w:color="0E7C78"/>
          <w:bottom w:val="single" w:sz="4" w:space="0" w:color="0E7C78"/>
          <w:right w:val="single" w:sz="4" w:space="0" w:color="0E7C78"/>
        </w:tblBorders>
      </w:tblPr>
      <w:tblGrid>
        <w:gridCol w:w="9216"/>
      </w:tblGrid>
      <w:tr>
        <w:tc>
          <w:tcPr>
            <w:tcW w:type="dxa" w:w="9216"/>
            <w:vAlign w:val="center"/>
          </w:tcPr>
          <w:p>
            <w:pPr>
              <w:pStyle w:val="CalloutLabel"/>
            </w:pPr>
            <w:r>
              <w:rPr>
                <w:color w:val="0B5F5C"/>
              </w:rPr>
              <w:t xml:space="preserve">NOTE</w:t>
            </w:r>
          </w:p>
          <w:p>
            <w:pPr>
              <w:pStyle w:val="CalloutBody"/>
            </w:pPr>
            <w:r>
              <w:rPr>
                <w:rStyle w:val="CodeInline"/>
              </w:rPr>
              <w:t xml:space="preserve">controllerSetup/node-runtime/bin/node</w:t>
            </w:r>
            <w:r>
              <w:t xml:space="preserve"> is Node v24.0 and can be used if you do not want to install Node 24 globally on the machine (</w:t>
            </w:r>
            <w:r>
              <w:rPr>
                <w:rStyle w:val="CodeInline"/>
              </w:rPr>
              <w:t xml:space="preserve">/usr/bin/node</w:t>
            </w:r>
            <w:r>
              <w:t xml:space="preserve">). The </w:t>
            </w:r>
            <w:r>
              <w:rPr>
                <w:rStyle w:val="CodeInline"/>
              </w:rPr>
              <w:t xml:space="preserve">install.sh</w:t>
            </w:r>
            <w:r>
              <w:t xml:space="preserve"> script uses </w:t>
            </w:r>
            <w:r>
              <w:rPr>
                <w:rStyle w:val="CodeInline"/>
              </w:rPr>
              <w:t xml:space="preserve">node-runtime/bin/node</w:t>
            </w:r>
            <w:r>
              <w:t xml:space="preserve"> for the npm rebuild by default, and the default Crashguard configuration also points to node-runtime for Node by default.</w:t>
            </w:r>
          </w:p>
        </w:tc>
        <w:trPr>
          <w:cantSplit/>
        </w:trPr>
      </w:tr>
    </w:tbl>
    <w:p>
      <w:pPr>
        <w:pStyle w:val="Heading2"/>
      </w:pPr>
      <w:r>
        <w:t xml:space="preserve">4  Using the Controller</w:t>
      </w:r>
    </w:p>
    <w:p>
      <w:pPr>
        <w:pStyle w:val="BodyText2026"/>
      </w:pPr>
      <w:r>
        <w:t xml:space="preserve">Once Crashguard has launched the Controller's backend and frontend (Step 12), open the Controller UI in a browser using the host, port, and protocol configured in the </w:t>
      </w:r>
      <w:r>
        <w:rPr>
          <w:rStyle w:val="CodeInline"/>
        </w:rPr>
        <w:t xml:space="preserve">.env</w:t>
      </w:r>
      <w:r>
        <w:t xml:space="preserve"> file (Step 7).</w:t>
      </w:r>
    </w:p>
    <w:p>
      <w:pPr>
        <w:pStyle w:val="BodyText2026"/>
      </w:pPr>
      <w:r>
        <w:t xml:space="preserve">From the UI, the Reflection service can be started or stopped using the corresponding controls. These actions are carried out through controller-backend, using the service name configured in Step 11.</w:t>
      </w:r>
    </w:p>
    <w:p>
      <w:pPr>
        <w:pStyle w:val="Heading2"/>
      </w:pPr>
      <w:r>
        <w:t xml:space="preserve">5  Verification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t xml:space="preserve">Confirm the Controller UI loads at the configured host and port.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t xml:space="preserve">Confirm the Start/Stop actions correctly start and stop the Reflection service on the machine.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t xml:space="preserve">If an action fails, re-check the service name in </w:t>
      </w:r>
      <w:r>
        <w:rPr>
          <w:rStyle w:val="CodeInline"/>
        </w:rPr>
        <w:t xml:space="preserve">service.json</w:t>
      </w:r>
      <w:r>
        <w:t xml:space="preserve"> (Step 11) and the command allow-list from the README (Step 10).</w:t>
      </w:r>
    </w:p>
    <w:p>
      <w:pPr>
        <w:numPr>
          <w:ilvl w:val="0"/>
          <w:numId w:val="700"/>
        </w:numPr>
        <w:pStyle w:val="BodyText2026"/>
        <w:spacing w:after="100" w:before="20"/>
      </w:pPr>
      <w:r>
        <w:t xml:space="preserve">If the UI does not load, re-check the </w:t>
      </w:r>
      <w:r>
        <w:rPr>
          <w:rStyle w:val="CodeInline"/>
        </w:rPr>
        <w:t xml:space="preserve">.env</w:t>
      </w:r>
      <w:r>
        <w:t xml:space="preserve"> values (Step 7) and the hostname/SSL configuration (Steps 5–6).</w:t>
      </w:r>
    </w:p>
    <w:p>
      <w:pPr>
        <w:pStyle w:val="CoverRule"/>
        <w:spacing w:before="160" w:after="160"/>
      </w:pPr>
    </w:p>
    <w:p>
      <w:pPr>
        <w:spacing w:before="0" w:after="80" w:line="240" w:lineRule="auto"/>
        <w:jc w:val="center"/>
      </w:pPr>
      <w:r>
        <w:rPr>
          <w:noProof/>
        </w:rPr>
        <w:drawing>
          <wp:inline distT="0" distB="0" distL="0" distR="0">
            <wp:extent cx="658368" cy="340796"/>
            <wp:effectExtent l="0" t="0" r="0" b="0"/>
            <wp:docPr id="1035" name="Tekmo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Tekmonks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3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color w:val="5C6672"/>
          <w:sz w:val="19"/>
        </w:rPr>
        <w:t xml:space="preserve">Reflection Controller · Installation &amp; Operation Guide · Version 1.0</w:t>
      </w:r>
    </w:p>
    <w:p>
      <w:pPr>
        <w:spacing w:before="0" w:after="0" w:line="240" w:lineRule="auto"/>
        <w:jc w:val="center"/>
      </w:pPr>
      <w:r>
        <w:rPr>
          <w:color w:val="5C6672"/>
          <w:sz w:val="19"/>
        </w:rPr>
        <w:t xml:space="preserve">© Tekmonks. All rights reserved.</w:t>
      </w:r>
    </w:p>
    <w:p>
      <w:pPr>
        <w:spacing w:before="0" w:after="0" w:line="240" w:lineRule="auto"/>
        <w:sectPr>
          <w:headerReference w:type="default" r:id="rId26"/>
          <w:footerReference w:type="default" r:id="rId27"/>
          <w:pgSz w:w="12240" w:h="15840"/>
          <w:pgMar w:top="1368" w:right="1512" w:bottom="1224" w:left="1512" w:header="720" w:footer="648" w:gutter="0"/>
          <w:cols w:space="720"/>
          <w:docGrid w:linePitch="360"/>
        </w:sectPr>
      </w:pPr>
    </w:p>
    <w:p>
      <w:pPr>
        <w:spacing w:before="0" w:after="0" w:line="240" w:lineRule="auto"/>
        <w:rPr>
          <w:sz w:val="2"/>
        </w:rPr>
      </w:pPr>
      <w:r>
        <w:rPr>
          <w:noProof/>
          <w:sz w:val="2"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37" name="Black cover ar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Black cover artwork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2600" w:line="240" w:lineRule="auto"/>
      </w:pPr>
    </w:p>
    <w:p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>
            <wp:extent cx="1325880" cy="687171"/>
            <wp:effectExtent l="0" t="0" r="0" b="0"/>
            <wp:docPr id="1039" name="Tekmo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Tekmonks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8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verRule"/>
        <w:spacing w:before="360" w:after="340"/>
      </w:pPr>
    </w:p>
    <w:p>
      <w:pPr>
        <w:spacing w:before="0" w:after="260" w:line="240" w:lineRule="auto"/>
        <w:jc w:val="center"/>
      </w:pPr>
      <w:r>
        <w:rPr>
          <w:b/>
          <w:color w:val="FFFFFF"/>
          <w:sz w:val="34"/>
          <w:caps w:val="1"/>
          <w:spacing w:val="24"/>
        </w:rPr>
        <w:t xml:space="preserve">Support</w:t>
      </w:r>
    </w:p>
    <w:p>
      <w:pPr>
        <w:spacing w:before="0" w:after="520" w:line="280" w:lineRule="auto"/>
        <w:jc w:val="center"/>
      </w:pPr>
      <w:r>
        <w:rPr>
          <w:color w:val="C7D0DA"/>
          <w:sz w:val="21"/>
        </w:rPr>
        <w:t xml:space="preserve">Before contacting support, collect: the document revision shown on the cover; the Node.js version in use; the monkshu logs for the affected time window; and the exact .env, hostname.json, httpd.json, and service.json values in use, with any secrets or credentials redacted before sending them to anyone.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5000" w:type="pct"/>
        <w:tblCellMar>
          <w:top w:w="60" w:type="dxa"/>
          <w:left w:w="0" w:type="dxa"/>
          <w:bottom w:w="60" w:type="dxa"/>
          <w:right w:w="120" w:type="dxa"/>
        </w:tblCellMar>
        <w:tblBorders>
          <w:top w:val="nil"/>
          <w:left w:val="nil"/>
          <w:bottom w:val="nil"/>
          <w:right w:val="nil"/>
          <w:insideH w:val="single" w:sz="4" w:space="0" w:color="24303F"/>
          <w:insideV w:val="nil"/>
        </w:tblBorders>
      </w:tblPr>
      <w:tblGrid>
        <w:gridCol w:w="2200"/>
        <w:gridCol w:w="7016"/>
      </w:tblGrid>
      <w:tr>
        <w:tc>
          <w:tcPr>
            <w:tcW w:type="dxa" w:w="2200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color w:val="2DCDB6"/>
                <w:sz w:val="19"/>
                <w:caps w:val="1"/>
                <w:spacing w:val="30"/>
              </w:rPr>
              <w:t xml:space="preserve">Email</w:t>
            </w:r>
          </w:p>
        </w:tc>
        <w:tc>
          <w:tcPr>
            <w:tcW w:type="dxa" w:w="7016"/>
            <w:vAlign w:val="center"/>
          </w:tcPr>
          <w:p>
            <w:pPr>
              <w:spacing w:before="60" w:after="60" w:line="240" w:lineRule="auto"/>
            </w:pPr>
            <w:r>
              <w:rPr>
                <w:color w:val="FFFFFF"/>
                <w:sz w:val="21"/>
              </w:rPr>
              <w:t xml:space="preserve">support@tekmonks.com</w:t>
            </w:r>
          </w:p>
        </w:tc>
        <w:trPr>
          <w:cantSplit/>
        </w:trPr>
      </w:tr>
      <w:tr>
        <w:tc>
          <w:tcPr>
            <w:tcW w:type="dxa" w:w="2200"/>
            <w:vAlign w:val="center"/>
          </w:tcPr>
          <w:p>
            <w:pPr>
              <w:spacing w:before="60" w:after="60" w:line="240" w:lineRule="auto"/>
            </w:pPr>
            <w:r>
              <w:rPr>
                <w:b/>
                <w:color w:val="2DCDB6"/>
                <w:sz w:val="19"/>
                <w:caps w:val="1"/>
                <w:spacing w:val="30"/>
              </w:rPr>
              <w:t xml:space="preserve">Hours</w:t>
            </w:r>
          </w:p>
        </w:tc>
        <w:tc>
          <w:tcPr>
            <w:tcW w:type="dxa" w:w="7016"/>
            <w:vAlign w:val="center"/>
          </w:tcPr>
          <w:p>
            <w:pPr>
              <w:spacing w:before="60" w:after="60" w:line="240" w:lineRule="auto"/>
            </w:pPr>
            <w:r>
              <w:rPr>
                <w:color w:val="FFFFFF"/>
                <w:sz w:val="21"/>
              </w:rPr>
              <w:t xml:space="preserve">9.00 am to 9.00 pm IST (Monday - Friday)</w:t>
            </w:r>
          </w:p>
        </w:tc>
        <w:trPr>
          <w:cantSplit/>
        </w:trPr>
      </w:tr>
    </w:tbl>
    <w:p>
      <w:pPr>
        <w:spacing w:before="0" w:after="2100" w:line="240" w:lineRule="auto"/>
      </w:pPr>
    </w:p>
    <w:p>
      <w:pPr>
        <w:spacing w:before="0" w:after="60" w:line="240" w:lineRule="auto"/>
        <w:jc w:val="center"/>
      </w:pPr>
      <w:r>
        <w:rPr>
          <w:color w:val="8FA0B2"/>
          <w:sz w:val="19"/>
          <w:caps w:val="1"/>
          <w:spacing w:val="10"/>
        </w:rPr>
        <w:t xml:space="preserve">Reflection Controller · Installation &amp; Operation Guide</w:t>
      </w:r>
    </w:p>
    <w:p>
      <w:pPr>
        <w:spacing w:before="0" w:after="0" w:line="240" w:lineRule="auto"/>
        <w:jc w:val="center"/>
      </w:pPr>
      <w:r>
        <w:rPr>
          <w:color w:val="8FA0B2"/>
          <w:sz w:val="19"/>
        </w:rPr>
        <w:t xml:space="preserve">Version 1.0</w:t>
      </w:r>
    </w:p>
    <w:p>
      <w:pPr>
        <w:spacing w:before="0" w:after="900" w:line="240" w:lineRule="auto"/>
      </w:pPr>
    </w:p>
    <w:p>
      <w:pPr>
        <w:tabs>
          <w:tab w:val="right" w:pos="9216"/>
        </w:tabs>
        <w:spacing w:before="0" w:after="0" w:line="240" w:lineRule="auto"/>
      </w:pPr>
      <w:r>
        <w:rPr>
          <w:b/>
          <w:color w:val="FFFFFF"/>
          <w:sz w:val="19"/>
          <w:caps w:val="1"/>
          <w:spacing w:val="52"/>
        </w:rPr>
        <w:t xml:space="preserve">Tekmonks</w:t>
      </w:r>
      <w:r>
        <w:tab/>
      </w:r>
      <w:r>
        <w:rPr>
          <w:color w:val="8FA0B2"/>
          <w:sz w:val="19"/>
        </w:rPr>
        <w:t xml:space="preserve">© Tekmonks. All rights reserved.</w:t>
      </w:r>
    </w:p>
    <w:sectPr>
      <w:headerReference w:type="default" r:id="rId14"/>
      <w:footerReference w:type="default" r:id="rId15"/>
      <w:pgSz w:w="12240" w:h="15840"/>
      <w:pgMar w:top="1440" w:right="1440" w:bottom="108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color w:val="5C6672"/>
        <w:sz w:val="17"/>
      </w:rPr>
      <w:t xml:space="preserve">Reflection  |  Reflection Controller — Installation &amp; Operation Guide</w:t>
    </w:r>
    <w:r>
      <w:rPr>
        <w:color w:val="5C6672"/>
        <w:sz w:val="17"/>
      </w:rPr>
      <w:tab/>
    </w:r>
    <w:r>
      <w:rPr>
        <w:color w:val="5C6672"/>
        <w:sz w:val="17"/>
      </w:rPr>
      <w:t xml:space="preserve">Page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PAGE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  <w:r>
      <w:rPr>
        <w:color w:val="5C6672"/>
        <w:sz w:val="17"/>
      </w:rPr>
      <w:t xml:space="preserve"> of </w:t>
    </w:r>
    <w:r>
      <w:rPr>
        <w:color w:val="5C6672"/>
        <w:sz w:val="17"/>
      </w:rPr>
      <w:fldChar w:fldCharType="begin"/>
    </w:r>
    <w:r>
      <w:rPr>
        <w:color w:val="5C6672"/>
        <w:sz w:val="17"/>
      </w:rPr>
      <w:instrText xml:space="preserve"> NUMPAGES </w:instrText>
    </w:r>
    <w:r>
      <w:rPr>
        <w:color w:val="5C6672"/>
        <w:sz w:val="17"/>
      </w:rPr>
      <w:fldChar w:fldCharType="separate"/>
    </w:r>
    <w:r>
      <w:rPr>
        <w:color w:val="5C6672"/>
        <w:sz w:val="17"/>
      </w:rPr>
      <w:t>1</w:t>
    </w:r>
    <w:r>
      <w:rPr>
        <w:color w:val="5C6672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nil"/>
        <w:bottom w:val="nil"/>
      </w:pBdr>
      <w:spacing w:after="0" w:before="0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513"/>
        <w:tab w:val="clear" w:pos="4680"/>
        <w:tab w:val="clear" w:pos="9026"/>
        <w:tab w:val="clear" w:pos="9360"/>
        <w:tab w:val="right" w:pos="9216"/>
      </w:tabs>
    </w:pPr>
    <w:r>
      <w:rPr>
        <w:b/>
        <w:color w:val="0A2647"/>
        <w:sz w:val="17"/>
        <w:spacing w:val="34"/>
      </w:rPr>
      <w:t>REFLECTION</w:t>
    </w:r>
    <w:r>
      <w:tab/>
    </w:r>
    <w:r>
      <w:rPr>
        <w:color w:val="5C6672"/>
        <w:sz w:val="17"/>
      </w:rPr>
      <w:t xml:space="preserve">Reflection Controller  ·  Installation &amp; Operation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00">
    <w:multiLevelType w:val="hybridMultilevel"/>
    <w:lvl w:ilvl="0">
      <w:start w:val="1"/>
      <w:numFmt w:val="bullet"/>
      <w:lvlText w:val="•"/>
      <w:lvlJc w:val="left"/>
      <w:pPr>
        <w:ind w:left="288" w:hanging="216"/>
      </w:pPr>
      <w:rPr>
        <w:rFonts w:ascii="Calibri" w:hAnsi="Calibri" w:hint="default"/>
        <w:color w:val="0E7C78"/>
      </w:rPr>
    </w:lvl>
    <w:lvl w:ilvl="1">
      <w:start w:val="1"/>
      <w:numFmt w:val="bullet"/>
      <w:lvlText w:val="–"/>
      <w:lvlJc w:val="left"/>
      <w:pPr>
        <w:ind w:left="605" w:hanging="202"/>
      </w:pPr>
      <w:rPr>
        <w:rFonts w:ascii="Calibri" w:hAnsi="Calibri" w:hint="default"/>
        <w:color w:val="5C6672"/>
      </w:rPr>
    </w:lvl>
    <w:lvl w:ilvl="2">
      <w:start w:val="1"/>
      <w:numFmt w:val="bullet"/>
      <w:lvlText w:val="•"/>
      <w:lvlJc w:val="left"/>
      <w:pPr>
        <w:ind w:left="922" w:hanging="202"/>
      </w:pPr>
      <w:rPr>
        <w:rFonts w:ascii="Calibri" w:hAnsi="Calibri" w:hint="default"/>
        <w:color w:val="5C6672"/>
      </w:rPr>
    </w:lvl>
  </w:abstractNum>
  <w:abstractNum w:abstractNumId="701">
    <w:multiLevelType w:val="hybridMultilevel"/>
    <w:lvl w:ilvl="0">
      <w:start w:val="1"/>
      <w:numFmt w:val="decimal"/>
      <w:lvlText w:val="%1."/>
      <w:lvlJc w:val="left"/>
      <w:pPr>
        <w:ind w:left="331" w:hanging="331"/>
      </w:pPr>
      <w:rPr>
        <w:rFonts w:ascii="Calibri" w:hAnsi="Calibri"/>
        <w:b w:val="1"/>
        <w:color w:val="0A2647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ascii="Calibri" w:hAnsi="Calibri"/>
        <w:b w:val="1"/>
        <w:color w:val="0A2647"/>
      </w:rPr>
    </w:lvl>
  </w:abstractNum>
  <w:abstractNum w:abstractNumId="702">
    <w:multiLevelType w:val="hybridMultilevel"/>
    <w:lvl w:ilvl="0">
      <w:start w:val="1"/>
      <w:numFmt w:val="bullet"/>
      <w:lvlText w:val=""/>
      <w:lvlJc w:val="left"/>
      <w:pPr>
        <w:ind w:left="302" w:hanging="230"/>
      </w:pPr>
      <w:rPr>
        <w:rFonts w:ascii="Wingdings" w:hAnsi="Wingdings" w:hint="default"/>
        <w:color w:val="0A2647"/>
        <w:sz w:val="20"/>
      </w:rPr>
    </w:lvl>
  </w:abstractNum>
  <w:abstractNum w:abstractNumId="703">
    <w:multiLevelType w:val="hybridMultilevel"/>
    <w:lvl w:ilvl="0">
      <w:start w:val="1"/>
      <w:numFmt w:val="bullet"/>
      <w:lvlText w:val="–"/>
      <w:lvlJc w:val="left"/>
      <w:pPr>
        <w:ind w:left="288" w:hanging="216"/>
      </w:pPr>
      <w:rPr>
        <w:rFonts w:ascii="Calibri" w:hAnsi="Calibri" w:hint="default"/>
        <w:color w:val="5C6672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1"/>
    <w:lvlOverride w:ilvl="0">
      <w:startOverride w:val="1"/>
    </w:lvlOverride>
  </w:num>
  <w:num w:numId="705">
    <w:abstractNumId w:val="7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spacing w:before="0" w:after="14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120" w:line="240" w:lineRule="auto" w:before="0"/>
      <w:ind w:left="0" w:right="0"/>
      <w:pBdr>
        <w:bottom w:val="single" w:sz="4" w:space="6" w:color="D7DDE4"/>
      </w:pBdr>
    </w:pPr>
    <w:rPr>
      <w:rFonts w:ascii="Calibri" w:hAnsi="Calibri" w:cs="Calibri" w:eastAsia="Calibri"/>
      <w:b w:val="0"/>
      <w:i w:val="0"/>
      <w:color w:val="5C6672"/>
      <w:sz w:val="17"/>
      <w:spacing w:val="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 w:before="120"/>
      <w:ind w:left="0" w:right="0"/>
      <w:pBdr>
        <w:top w:val="single" w:sz="4" w:space="6" w:color="D7DDE4"/>
      </w:pBdr>
    </w:pPr>
    <w:rPr>
      <w:rFonts w:ascii="Calibri" w:hAnsi="Calibri" w:cs="Calibri" w:eastAsia="Calibri"/>
      <w:b w:val="0"/>
      <w:i w:val="0"/>
      <w:color w:val="5C6672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0" w:after="200" w:line="240" w:lineRule="auto"/>
      <w:ind w:left="0" w:right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A2647"/>
      <w:sz w:val="54"/>
      <w:szCs w:val="28"/>
      <w:spacing w:val="-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400" w:after="160" w:line="252" w:lineRule="auto"/>
      <w:ind w:left="0" w:right="0"/>
      <w:outlineLvl w:val="1"/>
      <w:pBdr>
        <w:top w:val="single" w:sz="6" w:space="10" w:color="0E7C78"/>
      </w:pBdr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A2647"/>
      <w:sz w:val="34"/>
      <w:szCs w:val="26"/>
      <w:spacing w:val="-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80" w:after="100" w:line="264" w:lineRule="auto"/>
      <w:ind w:left="0" w:right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1D3E63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20" w:after="60"/>
      <w:ind w:left="0" w:right="0"/>
      <w:outlineLvl w:val="3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iCs/>
      <w:color w:val="1D3E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spacing w:before="0" w:after="80" w:line="278" w:lineRule="auto"/>
      <w:ind w:left="0" w:right="0"/>
      <w:contextualSpacing/>
    </w:pPr>
    <w:rPr>
      <w:rFonts w:ascii="Calibri" w:hAnsi="Calibri" w:cs="Calibri" w:eastAsia="Calibri"/>
      <w:b w:val="0"/>
      <w:i w:val="0"/>
      <w:color w:val="22282F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keepLines/>
      <w:pageBreakBefore w:val="0"/>
      <w:spacing w:line="276" w:lineRule="auto" w:before="240" w:after="100"/>
      <w:ind w:left="0" w:right="0"/>
    </w:pPr>
    <w:rPr>
      <w:rFonts w:ascii="Calibri" w:hAnsi="Calibri" w:cs="Calibri" w:eastAsia="Calibri"/>
      <w:b w:val="0"/>
      <w:bCs/>
      <w:i w:val="0"/>
      <w:color w:val="5C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2026">
    <w:name w:val="Body Text 2026"/>
    <w:basedOn w:val="Normal"/>
    <w:qFormat/>
    <w:pPr>
      <w:keepNext w:val="0"/>
      <w:keepLines w:val="0"/>
      <w:pageBreakBefore w:val="0"/>
      <w:spacing w:before="0" w:after="16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Lead-in">
    <w:name w:val="Lead-in"/>
    <w:basedOn w:val="Normal"/>
    <w:qFormat/>
    <w:pPr>
      <w:keepNext/>
      <w:keepLines w:val="0"/>
      <w:pageBreakBefore w:val="0"/>
      <w:spacing w:before="0" w:after="80" w:line="278" w:lineRule="auto"/>
      <w:ind w:left="0" w:right="0"/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CoverTitle">
    <w:name w:val="Cover Title"/>
    <w:qFormat/>
    <w:pPr>
      <w:keepNext w:val="0"/>
      <w:keepLines w:val="0"/>
      <w:pageBreakBefore w:val="0"/>
      <w:spacing w:before="0" w:after="120" w:line="240" w:lineRule="auto"/>
      <w:ind w:left="0" w:right="0"/>
      <w:jc w:val="center"/>
    </w:pPr>
    <w:rPr>
      <w:rFonts w:ascii="Calibri" w:hAnsi="Calibri" w:cs="Calibri" w:eastAsia="Calibri"/>
      <w:b/>
      <w:i w:val="0"/>
      <w:color w:val="0A2647"/>
      <w:sz w:val="60"/>
      <w:caps w:val="1"/>
      <w:spacing w:val="8"/>
    </w:rPr>
  </w:style>
  <w:style w:type="paragraph" w:customStyle="1" w:styleId="CoverSubtitle">
    <w:name w:val="Cover Subtitle"/>
    <w:qFormat/>
    <w:pPr>
      <w:keepNext w:val="0"/>
      <w:keepLines w:val="0"/>
      <w:pageBreakBefore w:val="0"/>
      <w:spacing w:before="0" w:after="40" w:line="300" w:lineRule="auto"/>
      <w:ind w:left="0" w:right="0"/>
      <w:jc w:val="center"/>
    </w:pPr>
    <w:rPr>
      <w:rFonts w:ascii="Calibri" w:hAnsi="Calibri" w:cs="Calibri" w:eastAsia="Calibri"/>
      <w:b w:val="0"/>
      <w:i w:val="0"/>
      <w:color w:val="5C6672"/>
      <w:sz w:val="22"/>
    </w:rPr>
  </w:style>
  <w:style w:type="paragraph" w:customStyle="1" w:styleId="CoverRule">
    <w:name w:val="Cover Rule"/>
    <w:qFormat/>
    <w:pPr>
      <w:keepNext w:val="0"/>
      <w:keepLines w:val="0"/>
      <w:pageBreakBefore w:val="0"/>
      <w:spacing w:before="200" w:after="280" w:line="240" w:lineRule="auto"/>
      <w:ind w:left="0" w:right="0"/>
      <w:jc w:val="center"/>
      <w:pBdr>
        <w:bottom w:val="single" w:sz="18" w:space="1" w:color="0E7C78"/>
      </w:pBdr>
    </w:pPr>
    <w:rPr>
      <w:rFonts w:ascii="Calibri" w:hAnsi="Calibri" w:cs="Calibri" w:eastAsia="Calibri"/>
      <w:b w:val="0"/>
      <w:i w:val="0"/>
      <w:color w:val="22282F"/>
      <w:sz w:val="4"/>
    </w:rPr>
  </w:style>
  <w:style w:type="paragraph" w:customStyle="1" w:styleId="FigureImage">
    <w:name w:val="Figure Image"/>
    <w:qFormat/>
    <w:pPr>
      <w:keepNext/>
      <w:keepLines w:val="0"/>
      <w:pageBreakBefore w:val="0"/>
      <w:spacing w:before="120" w:after="80" w:line="240" w:lineRule="auto"/>
      <w:ind w:left="0" w:right="0"/>
      <w:jc w:val="center"/>
    </w:pPr>
  </w:style>
  <w:style w:type="paragraph" w:customStyle="1" w:styleId="PartLabel">
    <w:name w:val="Part Label"/>
    <w:qFormat/>
    <w:pPr>
      <w:keepNext w:val="0"/>
      <w:keepLines w:val="0"/>
      <w:pageBreakBefore w:val="0"/>
      <w:spacing w:before="0" w:after="120" w:line="240" w:lineRule="auto"/>
      <w:ind w:left="0" w:right="0"/>
    </w:pPr>
    <w:rPr>
      <w:rFonts w:ascii="Calibri" w:hAnsi="Calibri" w:cs="Calibri" w:eastAsia="Calibri"/>
      <w:b/>
      <w:i w:val="0"/>
      <w:color w:val="0E7C78"/>
      <w:sz w:val="22"/>
      <w:caps w:val="1"/>
      <w:spacing w:val="44"/>
    </w:rPr>
  </w:style>
  <w:style w:type="paragraph" w:customStyle="1" w:styleId="PartSummary">
    <w:name w:val="Part Summary"/>
    <w:qFormat/>
    <w:pPr>
      <w:keepNext w:val="0"/>
      <w:keepLines w:val="0"/>
      <w:pageBreakBefore w:val="0"/>
      <w:spacing w:before="120" w:after="80" w:line="312" w:lineRule="auto"/>
      <w:ind w:left="0" w:right="0"/>
    </w:pPr>
    <w:rPr>
      <w:rFonts w:ascii="Calibri" w:hAnsi="Calibri" w:cs="Calibri" w:eastAsia="Calibri"/>
      <w:b w:val="0"/>
      <w:i w:val="0"/>
      <w:color w:val="5C6672"/>
      <w:sz w:val="22"/>
    </w:rPr>
  </w:style>
  <w:style w:type="paragraph" w:customStyle="1" w:styleId="CodeBlock">
    <w:name w:val="Code Block"/>
    <w:qFormat/>
    <w:pPr>
      <w:keepNext w:val="0"/>
      <w:keepLines/>
      <w:pageBreakBefore w:val="0"/>
      <w:spacing w:before="140" w:after="180" w:line="288" w:lineRule="auto"/>
      <w:ind w:left="245" w:right="86"/>
      <w:shd w:val="clear" w:color="auto" w:fill="F5F7FA"/>
      <w:pBdr>
        <w:top w:val="single" w:sz="4" w:space="6" w:color="E1E7EE"/>
        <w:left w:val="single" w:sz="24" w:space="8" w:color="0E7C78"/>
        <w:bottom w:val="single" w:sz="4" w:space="6" w:color="E1E7EE"/>
        <w:right w:val="single" w:sz="4" w:space="6" w:color="E1E7EE"/>
      </w:pBdr>
    </w:pPr>
    <w:rPr>
      <w:rFonts w:ascii="Consolas" w:hAnsi="Consolas" w:cs="Consolas" w:eastAsia="Consolas"/>
      <w:b w:val="0"/>
      <w:i w:val="0"/>
      <w:color w:val="1B2733"/>
      <w:sz w:val="17"/>
    </w:rPr>
  </w:style>
  <w:style w:type="character" w:customStyle="1" w:styleId="CodeInline">
    <w:name w:val="Code Inline"/>
    <w:qFormat/>
    <w:rPr>
      <w:rFonts w:ascii="Consolas" w:hAnsi="Consolas" w:cs="Consolas" w:eastAsia="Consolas"/>
      <w:b w:val="0"/>
      <w:i w:val="0"/>
      <w:color w:val="1D3E63"/>
      <w:sz w:val="18"/>
    </w:rPr>
  </w:style>
  <w:style w:type="character" w:customStyle="1" w:styleId="CodeInlineSmall">
    <w:name w:val="Code Inline Small"/>
    <w:qFormat/>
    <w:rPr>
      <w:rFonts w:ascii="Consolas" w:hAnsi="Consolas" w:cs="Consolas" w:eastAsia="Consolas"/>
      <w:b w:val="0"/>
      <w:i w:val="0"/>
      <w:color w:val="1D3E63"/>
      <w:sz w:val="16"/>
    </w:rPr>
  </w:style>
  <w:style w:type="character" w:customStyle="1" w:styleId="KeyTerm">
    <w:name w:val="Key Term"/>
    <w:qFormat/>
    <w:rPr>
      <w:rFonts w:ascii="Consolas" w:hAnsi="Consolas" w:cs="Consolas" w:eastAsia="Consolas"/>
      <w:b/>
      <w:i w:val="0"/>
      <w:color w:val="0A2647"/>
      <w:sz w:val="18"/>
    </w:rPr>
  </w:style>
  <w:style w:type="paragraph" w:customStyle="1" w:styleId="CaptionBelow">
    <w:name w:val="Caption Below"/>
    <w:basedOn w:val="Caption"/>
    <w:qFormat/>
    <w:pPr>
      <w:keepNext w:val="0"/>
      <w:keepLines/>
      <w:pageBreakBefore w:val="0"/>
      <w:spacing w:before="100" w:after="240" w:line="276" w:lineRule="auto"/>
      <w:ind w:left="0" w:right="0"/>
      <w:jc w:val="center"/>
    </w:pPr>
    <w:rPr>
      <w:rFonts w:ascii="Calibri" w:hAnsi="Calibri" w:cs="Calibri" w:eastAsia="Calibri"/>
      <w:b w:val="0"/>
      <w:i w:val="0"/>
      <w:color w:val="5C6672"/>
      <w:sz w:val="18"/>
    </w:rPr>
  </w:style>
  <w:style w:type="character" w:customStyle="1" w:styleId="CaptionLabel">
    <w:name w:val="Caption Label"/>
    <w:qFormat/>
    <w:rPr>
      <w:rFonts w:ascii="Calibri" w:hAnsi="Calibri" w:cs="Calibri" w:eastAsia="Calibri"/>
      <w:b/>
      <w:i w:val="0"/>
      <w:color w:val="0A2647"/>
      <w:sz w:val="18"/>
    </w:rPr>
  </w:style>
  <w:style w:type="paragraph" w:customStyle="1" w:styleId="FlowDiagram">
    <w:name w:val="Flow Diagram"/>
    <w:qFormat/>
    <w:pPr>
      <w:keepNext/>
      <w:keepLines/>
      <w:pageBreakBefore w:val="0"/>
      <w:spacing w:before="160" w:after="40" w:line="312" w:lineRule="auto"/>
      <w:ind w:left="0" w:right="0"/>
      <w:jc w:val="center"/>
      <w:shd w:val="clear" w:color="auto" w:fill="F4F7FA"/>
      <w:pBdr>
        <w:top w:val="single" w:sz="4" w:space="10" w:color="D7DDE4"/>
        <w:left w:val="single" w:sz="4" w:space="10" w:color="D7DDE4"/>
        <w:bottom w:val="single" w:sz="4" w:space="10" w:color="D7DDE4"/>
        <w:right w:val="single" w:sz="4" w:space="10" w:color="D7DDE4"/>
      </w:pBdr>
    </w:pPr>
    <w:rPr>
      <w:rFonts w:ascii="Consolas" w:hAnsi="Consolas" w:cs="Consolas" w:eastAsia="Consolas"/>
      <w:b/>
      <w:i w:val="0"/>
      <w:color w:val="0A2647"/>
      <w:sz w:val="18"/>
    </w:rPr>
  </w:style>
  <w:style w:type="paragraph" w:customStyle="1" w:styleId="TableText">
    <w:name w:val="Table Text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alibri" w:hAnsi="Calibri" w:cs="Calibri" w:eastAsia="Calibri"/>
      <w:b w:val="0"/>
      <w:i w:val="0"/>
      <w:color w:val="22282F"/>
      <w:sz w:val="19"/>
    </w:rPr>
  </w:style>
  <w:style w:type="paragraph" w:customStyle="1" w:styleId="TableHead">
    <w:name w:val="Table Head"/>
    <w:qFormat/>
    <w:pPr>
      <w:keepNext/>
      <w:keepLines w:val="0"/>
      <w:pageBreakBefore w:val="0"/>
      <w:spacing w:before="80" w:after="80" w:line="252" w:lineRule="auto"/>
      <w:ind w:left="0" w:right="0"/>
    </w:pPr>
    <w:rPr>
      <w:rFonts w:ascii="Calibri" w:hAnsi="Calibri" w:cs="Calibri" w:eastAsia="Calibri"/>
      <w:b/>
      <w:i w:val="0"/>
      <w:color w:val="FFFFFF"/>
      <w:sz w:val="19"/>
    </w:rPr>
  </w:style>
  <w:style w:type="paragraph" w:customStyle="1" w:styleId="TableTerm">
    <w:name w:val="Table Term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alibri" w:hAnsi="Calibri" w:cs="Calibri" w:eastAsia="Calibri"/>
      <w:b/>
      <w:i w:val="0"/>
      <w:color w:val="0A2647"/>
      <w:sz w:val="19"/>
    </w:rPr>
  </w:style>
  <w:style w:type="paragraph" w:customStyle="1" w:styleId="TableKey">
    <w:name w:val="Table Key"/>
    <w:qFormat/>
    <w:pPr>
      <w:keepNext w:val="0"/>
      <w:keepLines w:val="0"/>
      <w:pageBreakBefore w:val="0"/>
      <w:spacing w:before="50" w:after="50" w:line="264" w:lineRule="auto"/>
      <w:ind w:left="0" w:right="0"/>
    </w:pPr>
    <w:rPr>
      <w:rFonts w:ascii="Consolas" w:hAnsi="Consolas" w:cs="Consolas" w:eastAsia="Consolas"/>
      <w:b/>
      <w:i w:val="0"/>
      <w:color w:val="0A2647"/>
      <w:sz w:val="16"/>
    </w:rPr>
  </w:style>
  <w:style w:type="paragraph" w:customStyle="1" w:styleId="CalloutLabel">
    <w:name w:val="Callout Label"/>
    <w:qFormat/>
    <w:pPr>
      <w:keepNext/>
      <w:keepLines w:val="0"/>
      <w:pageBreakBefore w:val="0"/>
      <w:spacing w:before="20" w:after="60" w:line="240" w:lineRule="auto"/>
      <w:ind w:left="0" w:right="0"/>
    </w:pPr>
    <w:rPr>
      <w:rFonts w:ascii="Calibri" w:hAnsi="Calibri" w:cs="Calibri" w:eastAsia="Calibri"/>
      <w:b/>
      <w:i w:val="0"/>
      <w:color w:val="1D3E63"/>
      <w:sz w:val="17"/>
      <w:caps w:val="1"/>
      <w:spacing w:val="24"/>
    </w:rPr>
  </w:style>
  <w:style w:type="paragraph" w:customStyle="1" w:styleId="CalloutBody">
    <w:name w:val="Callout Body"/>
    <w:qFormat/>
    <w:pPr>
      <w:keepNext w:val="0"/>
      <w:keepLines w:val="0"/>
      <w:pageBreakBefore w:val="0"/>
      <w:spacing w:before="0" w:after="20" w:line="276" w:lineRule="auto"/>
      <w:ind w:left="0" w:right="0"/>
    </w:pPr>
    <w:rPr>
      <w:rFonts w:ascii="Calibri" w:hAnsi="Calibri" w:cs="Calibri" w:eastAsia="Calibri"/>
      <w:b w:val="0"/>
      <w:i w:val="0"/>
      <w:color w:val="22282F"/>
      <w:sz w:val="20"/>
    </w:rPr>
  </w:style>
  <w:style w:type="paragraph" w:customStyle="1" w:styleId="TOCHeadingRef">
    <w:name w:val="TOC Heading Ref"/>
    <w:qFormat/>
  </w:style>
  <w:style w:type="paragraph" w:customStyle="1" w:styleId="TOC1">
    <w:name w:val="TOC 1"/>
    <w:basedOn w:val="Normal"/>
    <w:qFormat/>
    <w:pPr>
      <w:keepNext w:val="0"/>
      <w:keepLines w:val="0"/>
      <w:pageBreakBefore w:val="0"/>
      <w:spacing w:before="240" w:after="60" w:line="264" w:lineRule="auto"/>
      <w:ind w:left="0" w:right="0"/>
      <w:tabs>
        <w:tab w:val="right" w:leader="dot" w:pos="9180"/>
      </w:tabs>
    </w:pPr>
    <w:rPr>
      <w:rFonts w:ascii="Calibri" w:hAnsi="Calibri" w:cs="Calibri" w:eastAsia="Calibri"/>
      <w:b/>
      <w:i w:val="0"/>
      <w:color w:val="0A2647"/>
      <w:sz w:val="23"/>
    </w:rPr>
  </w:style>
  <w:style w:type="paragraph" w:customStyle="1" w:styleId="TOC2">
    <w:name w:val="TOC 2"/>
    <w:basedOn w:val="Normal"/>
    <w:qFormat/>
    <w:pPr>
      <w:keepNext w:val="0"/>
      <w:keepLines w:val="0"/>
      <w:pageBreakBefore w:val="0"/>
      <w:spacing w:before="60" w:after="40" w:line="264" w:lineRule="auto"/>
      <w:ind w:left="259" w:right="0"/>
      <w:tabs>
        <w:tab w:val="right" w:leader="dot" w:pos="9180"/>
      </w:tabs>
    </w:pPr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TOC3">
    <w:name w:val="TOC 3"/>
    <w:basedOn w:val="Normal"/>
    <w:qFormat/>
    <w:pPr>
      <w:keepNext w:val="0"/>
      <w:keepLines w:val="0"/>
      <w:pageBreakBefore w:val="0"/>
      <w:spacing w:before="20" w:after="20" w:line="264" w:lineRule="auto"/>
      <w:ind w:left="662" w:right="0"/>
      <w:tabs>
        <w:tab w:val="right" w:leader="dot" w:pos="9180"/>
      </w:tabs>
    </w:pPr>
    <w:rPr>
      <w:rFonts w:ascii="Calibri" w:hAnsi="Calibri" w:cs="Calibri" w:eastAsia="Calibri"/>
      <w:b w:val="0"/>
      <w:i w:val="0"/>
      <w:color w:val="5C6672"/>
      <w:sz w:val="19"/>
    </w:rPr>
  </w:style>
  <w:style w:type="character" w:customStyle="1" w:styleId="TocLink">
    <w:name w:val="TocLink"/>
    <w:qFormat/>
    <w:rPr>
      <w:rFonts w:ascii="Calibri" w:hAnsi="Calibri" w:cs="Calibri" w:eastAsia="Calibri"/>
      <w:b w:val="0"/>
      <w:i w:val="0"/>
      <w:color w:val="22282F"/>
      <w:sz w:val="21"/>
    </w:rPr>
  </w:style>
  <w:style w:type="paragraph" w:customStyle="1" w:styleId="ContentsHead">
    <w:name w:val="Contents Head"/>
    <w:basedOn w:val="Normal"/>
    <w:pPr>
      <w:keepNext/>
      <w:keepLines w:val="0"/>
      <w:pageBreakBefore w:val="0"/>
      <w:spacing w:before="0" w:after="200"/>
      <w:ind w:left="0" w:right="0"/>
      <w:pBdr>
        <w:bottom w:val="single" w:sz="6" w:space="8" w:color="0E7C78"/>
      </w:pBdr>
    </w:pPr>
    <w:rPr>
      <w:rFonts w:ascii="Calibri" w:hAnsi="Calibri" w:cs="Calibri" w:eastAsia="Calibri"/>
      <w:b/>
      <w:i w:val="0"/>
      <w:color w:val="0A2647"/>
      <w:sz w:val="34"/>
      <w:spacing w:val="-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26" Type="http://schemas.openxmlformats.org/officeDocument/2006/relationships/header" Target="header8.xml"/><Relationship Id="rId27" Type="http://schemas.openxmlformats.org/officeDocument/2006/relationships/footer" Target="footer8.xml"/><Relationship Id="rId101" Type="http://schemas.openxmlformats.org/officeDocument/2006/relationships/image" Target="media/cover-black.png"/><Relationship Id="rId102" Type="http://schemas.openxmlformats.org/officeDocument/2006/relationships/image" Target="media/tekmonks-rev.png"/><Relationship Id="rId103" Type="http://schemas.openxmlformats.org/officeDocument/2006/relationships/image" Target="media/icon-webui.png"/><Relationship Id="rId104" Type="http://schemas.openxmlformats.org/officeDocument/2006/relationships/image" Target="media/icon-startstop.png"/><Relationship Id="rId105" Type="http://schemas.openxmlformats.org/officeDocument/2006/relationships/image" Target="media/icon-setup.png"/><Relationship Id="rId106" Type="http://schemas.openxmlformats.org/officeDocument/2006/relationships/image" Target="media/tekmonks-trans.png"/><Relationship Id="rId107" Type="http://schemas.openxmlformats.org/officeDocument/2006/relationships/image" Target="media/cover-black.png"/><Relationship Id="rId108" Type="http://schemas.openxmlformats.org/officeDocument/2006/relationships/image" Target="media/tekmonks-rev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— Reflection Controller — Installation &amp; Operation Guide</dc:title>
  <dc:subject>Reflection Controller installation and operation</dc:subject>
  <dc:creator>Tekmonks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>Product manual</cp:category>
</cp:coreProperties>
</file>