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13B" w:rsidRPr="00FE56CD" w:rsidRDefault="0025313B" w:rsidP="0025313B">
      <w:pPr>
        <w:pBdr>
          <w:bottom w:val="single" w:sz="6" w:space="2" w:color="AAAAAA"/>
        </w:pBdr>
        <w:shd w:val="clear" w:color="auto" w:fill="FFFFFF"/>
        <w:spacing w:after="144" w:line="288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FE56CD">
        <w:rPr>
          <w:rFonts w:ascii="Arial" w:eastAsia="Times New Roman" w:hAnsi="Arial" w:cs="Arial"/>
          <w:color w:val="000000"/>
          <w:sz w:val="29"/>
          <w:szCs w:val="29"/>
        </w:rPr>
        <w:t>Taste and odor</w:t>
      </w:r>
    </w:p>
    <w:p w:rsidR="0025313B" w:rsidRPr="00FE56CD" w:rsidRDefault="0025313B" w:rsidP="0025313B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color w:val="000000"/>
          <w:sz w:val="20"/>
          <w:szCs w:val="20"/>
        </w:rPr>
        <w:t>Water can dissolve many different substances, giving it varying tastes and odors. </w:t>
      </w:r>
      <w:hyperlink r:id="rId5" w:tooltip="Humans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Humans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and other animals have developed senses that enable them to evaluate the </w:t>
      </w:r>
      <w:proofErr w:type="spellStart"/>
      <w:r w:rsidRPr="00FE56CD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"http://en.wikipedia.org/wiki/Drinking_water" \o "Drinking water" </w:instrText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FE56CD">
        <w:rPr>
          <w:rFonts w:ascii="Arial" w:eastAsia="Times New Roman" w:hAnsi="Arial" w:cs="Arial"/>
          <w:color w:val="0B0080"/>
          <w:sz w:val="20"/>
          <w:szCs w:val="20"/>
          <w:u w:val="single"/>
        </w:rPr>
        <w:t>potability</w:t>
      </w:r>
      <w:proofErr w:type="spellEnd"/>
      <w:r w:rsidRPr="00FE56CD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t> of water by avoiding water that is too salty or </w:t>
      </w:r>
      <w:hyperlink r:id="rId6" w:tooltip="Putrid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putrid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. The taste of </w:t>
      </w:r>
      <w:hyperlink r:id="rId7" w:tooltip="Spring water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spring water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and </w:t>
      </w:r>
      <w:hyperlink r:id="rId8" w:tooltip="Mineral water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mineral water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, often advertised in marketing of consumer products, derives from the minerals dissolved in it. However, pure H</w:t>
      </w:r>
      <w:r w:rsidRPr="00FE56CD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2</w:t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t>O is tasteless and odorless. The advertised purity of spring and mineral water refers to absence of </w:t>
      </w:r>
      <w:hyperlink r:id="rId9" w:tooltip="Toxin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toxins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10" w:tooltip="Pollutant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pollutants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and </w:t>
      </w:r>
      <w:hyperlink r:id="rId11" w:tooltip="Microorganism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microbes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, not the absence of naturally occurring minerals.</w:t>
      </w:r>
    </w:p>
    <w:p w:rsidR="0025313B" w:rsidRPr="00FE56CD" w:rsidRDefault="0025313B" w:rsidP="0025313B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25313B" w:rsidRDefault="0025313B" w:rsidP="0025313B"/>
    <w:p w:rsidR="00FE2F8F" w:rsidRDefault="00FA56E9">
      <w:r>
        <w:rPr>
          <w:noProof/>
        </w:rPr>
        <w:drawing>
          <wp:inline distT="0" distB="0" distL="0" distR="0">
            <wp:extent cx="5943600" cy="4752975"/>
            <wp:effectExtent l="0" t="0" r="0" b="9525"/>
            <wp:docPr id="1" name="Picture 1" descr="C:\Users\Rajat\Desktop\database\wi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t\Desktop\database\wi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587"/>
    <w:rsid w:val="0025313B"/>
    <w:rsid w:val="00866126"/>
    <w:rsid w:val="00A10587"/>
    <w:rsid w:val="00FA56E9"/>
    <w:rsid w:val="00FE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ineral_wa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pring_water" TargetMode="External"/><Relationship Id="rId12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Putrid" TargetMode="External"/><Relationship Id="rId11" Type="http://schemas.openxmlformats.org/officeDocument/2006/relationships/hyperlink" Target="http://en.wikipedia.org/wiki/Microorganism" TargetMode="External"/><Relationship Id="rId5" Type="http://schemas.openxmlformats.org/officeDocument/2006/relationships/hyperlink" Target="http://en.wikipedia.org/wiki/Humans" TargetMode="External"/><Relationship Id="rId10" Type="http://schemas.openxmlformats.org/officeDocument/2006/relationships/hyperlink" Target="http://en.wikipedia.org/wiki/Pollut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Tox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3</cp:revision>
  <dcterms:created xsi:type="dcterms:W3CDTF">2012-10-06T02:00:00Z</dcterms:created>
  <dcterms:modified xsi:type="dcterms:W3CDTF">2012-10-06T02:01:00Z</dcterms:modified>
</cp:coreProperties>
</file>