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Cryptocurrency Volatility Prediction using Machine Learning</w:t>
      </w:r>
    </w:p>
    <w:p>
      <w:pPr>
        <w:pStyle w:val="Heading1"/>
      </w:pPr>
      <w:r>
        <w:t>1. Objective</w:t>
      </w:r>
    </w:p>
    <w:p>
      <w:r>
        <w:t>The objective of this project is to predict cryptocurrency price volatility using historical market data. The model aims to identify high-volatility periods so that traders and financial institutions can manage risk and make informed investment decisions.</w:t>
      </w:r>
    </w:p>
    <w:p>
      <w:pPr>
        <w:pStyle w:val="Heading1"/>
      </w:pPr>
      <w:r>
        <w:t>2. Dataset Description</w:t>
      </w:r>
    </w:p>
    <w:p>
      <w:r>
        <w:t>The dataset consists of daily historical data for more than 50 cryptocurrencies with a total of approximately 72,000 records. Features include open, high, low, close prices, trading volume, market capitalization, timestamp, symbol, and derived date fields.</w:t>
      </w:r>
    </w:p>
    <w:p>
      <w:pPr>
        <w:pStyle w:val="Heading1"/>
      </w:pPr>
      <w:r>
        <w:t>3. Data Preprocessing Results</w:t>
      </w:r>
    </w:p>
    <w:p>
      <w:r>
        <w:t>Missing values were handled, and the dataset was cleaned to ensure consistency across all cryptocurrencies. After preprocessing, all numerical columns were converted to appropriate data types. The final cleaned dataset was suitable for time-series analysis and machine learning modeling.</w:t>
      </w:r>
    </w:p>
    <w:p>
      <w:pPr>
        <w:pStyle w:val="Heading1"/>
      </w:pPr>
      <w:r>
        <w:t>4. Exploratory Data Analysis (EDA) – Findings</w:t>
      </w:r>
    </w:p>
    <w:p>
      <w:r>
        <w:t>EDA revealed strong price fluctuations across cryptocurrencies, confirming the highly volatile nature of the market. Volume and market capitalization showed meaningful relationships with price movements. Volatility clustering was observed, where high-volatility periods tended to occur consecutively.</w:t>
      </w:r>
    </w:p>
    <w:p>
      <w:pPr>
        <w:pStyle w:val="Heading1"/>
      </w:pPr>
      <w:r>
        <w:t>5. Feature Engineering – Results</w:t>
      </w:r>
    </w:p>
    <w:p>
      <w:r>
        <w:t>Several new features were engineered to capture volatility behavior:</w:t>
        <w:br/>
        <w:t>• Log returns calculated from closing prices</w:t>
        <w:br/>
        <w:t>• Rolling volatility using a 14-day window</w:t>
        <w:br/>
        <w:t>• Moving averages</w:t>
        <w:br/>
        <w:t>• Liquidity-related features based on volume</w:t>
        <w:br/>
        <w:br/>
        <w:t>These engineered features significantly improved the model’s ability to learn short-term and long-term volatility patterns.</w:t>
      </w:r>
    </w:p>
    <w:p>
      <w:pPr>
        <w:pStyle w:val="Heading1"/>
      </w:pPr>
      <w:r>
        <w:t>6. Model Selection and Justification</w:t>
      </w:r>
    </w:p>
    <w:p>
      <w:r>
        <w:t>A Random Forest Regressor was selected as the primary model due to its ability to handle non-linear relationships, robustness to noise, and effectiveness on tabular financial data. The model also provides better generalization compared to simple linear models.</w:t>
      </w:r>
    </w:p>
    <w:p>
      <w:pPr>
        <w:pStyle w:val="Heading1"/>
      </w:pPr>
      <w:r>
        <w:t>7. Hyperparameter Tuning</w:t>
      </w:r>
    </w:p>
    <w:p>
      <w:r>
        <w:t>Hyperparameter tuning was performed to optimize model performance. Key parameters such as the number of trees, maximum depth, and minimum samples per split were tuned using systematic search methods. This resulted in reduced prediction error compared to the default Random Forest configuration.</w:t>
      </w:r>
    </w:p>
    <w:p>
      <w:pPr>
        <w:pStyle w:val="Heading1"/>
      </w:pPr>
      <w:r>
        <w:t>8. Model Evaluation Results</w:t>
      </w:r>
    </w:p>
    <w:p>
      <w:r>
        <w:t>The optimized model was evaluated using standard regression metrics such as RMSE, MAE, and R² score. The tuned Random Forest model showed improved error metrics compared to baseline models, indicating its effectiveness in predicting cryptocurrency volatility.</w:t>
      </w:r>
    </w:p>
    <w:p>
      <w:pPr>
        <w:pStyle w:val="Heading1"/>
      </w:pPr>
      <w:r>
        <w:t>9. Conclusion</w:t>
      </w:r>
    </w:p>
    <w:p>
      <w:r>
        <w:t>This project demonstrates that machine learning models, combined with proper feature engineering and hyperparameter tuning, can effectively predict cryptocurrency volatility. The results confirm that historical price behavior and liquidity indicators are strong predictors of market instability.</w:t>
      </w:r>
    </w:p>
    <w:p>
      <w:pPr>
        <w:pStyle w:val="Heading1"/>
      </w:pPr>
      <w:r>
        <w:t>10. Future Scope</w:t>
      </w:r>
    </w:p>
    <w:p>
      <w:r>
        <w:t>Future improvements may include implementing deep learning models such as LSTM for sequential data, real-time prediction pipelines, and deployment using Streamlit or Flask for live market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