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25D7C"/>
          <w:sz w:val="40"/>
          <w:szCs w:val="40"/>
        </w:rPr>
        <w:t xml:space="preserve">MailPlus Homepage — Copy Change Deck</w:t>
      </w:r>
    </w:p>
    <w:p>
      <w:pPr>
        <w:spacing w:after="60"/>
      </w:pPr>
      <w:r>
        <w:rPr>
          <w:color w:val="5B6E66"/>
          <w:sz w:val="18"/>
          <w:szCs w:val="18"/>
        </w:rPr>
        <w:t xml:space="preserve">mailplus.com.au · Content copy only — form and success pages already updated · Prepared 21 Aug 2026</w:t>
      </w:r>
    </w:p>
    <w:p>
      <w:pPr>
        <w:spacing w:after="200"/>
      </w:pPr>
      <w:r>
        <w:rPr>
          <w:color w:val="0A3242"/>
          <w:sz w:val="18"/>
          <w:szCs w:val="18"/>
        </w:rPr>
        <w:t xml:space="preserve">Nine changes. The two FAQ rows apply in two places each: the visible answer and the matching FAQPage JSON-LD block in &lt;head&gt;. Final HTML with everything applied: V10-homepage-messaging.html — this deck is the diff against the current live page.</w:t>
      </w:r>
    </w:p>
    <w:p>
      <w:pPr>
        <w:pStyle w:val="Heading1"/>
        <w:spacing w:after="120" w:before="240"/>
      </w:pPr>
      <w:r>
        <w:rPr>
          <w:b/>
          <w:bCs/>
          <w:color w:val="025D7C"/>
        </w:rPr>
        <w:t xml:space="preserve">Changes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3900"/>
        <w:gridCol w:w="1500"/>
      </w:tblGrid>
      <w:tr>
        <w:trPr>
          <w:tblHeader/>
        </w:trPr>
        <w:tc>
          <w:tcPr>
            <w:tcW w:type="dxa" w:w="1500"/>
            <w:shd w:fill="E8F0EC" w:val="clear"/>
            <w:tcMar>
              <w:top w:type="dxa" w:w="80"/>
              <w:left w:type="dxa" w:w="120"/>
              <w:bottom w:type="dxa" w:w="80"/>
              <w:right w:type="dxa" w:w="120"/>
            </w:tcMar>
          </w:tcPr>
          <w:p>
            <w:pPr>
              <w:spacing w:after="100"/>
            </w:pPr>
            <w:r>
              <w:rPr>
                <w:b/>
                <w:bCs/>
                <w:color w:val="0A3242"/>
                <w:sz w:val="18"/>
                <w:szCs w:val="18"/>
              </w:rPr>
              <w:t xml:space="preserve">Where</w:t>
            </w:r>
          </w:p>
        </w:tc>
        <w:tc>
          <w:tcPr>
            <w:tcW w:type="dxa" w:w="3900"/>
            <w:shd w:fill="E8F0EC" w:val="clear"/>
            <w:tcMar>
              <w:top w:type="dxa" w:w="80"/>
              <w:left w:type="dxa" w:w="120"/>
              <w:bottom w:type="dxa" w:w="80"/>
              <w:right w:type="dxa" w:w="120"/>
            </w:tcMar>
          </w:tcPr>
          <w:p>
            <w:pPr>
              <w:spacing w:after="100"/>
            </w:pPr>
            <w:r>
              <w:rPr>
                <w:b/>
                <w:bCs/>
                <w:color w:val="0A3242"/>
                <w:sz w:val="18"/>
                <w:szCs w:val="18"/>
              </w:rPr>
              <w:t xml:space="preserve">Change this</w:t>
            </w:r>
          </w:p>
        </w:tc>
        <w:tc>
          <w:tcPr>
            <w:tcW w:type="dxa" w:w="3900"/>
            <w:shd w:fill="E8F0EC" w:val="clear"/>
            <w:tcMar>
              <w:top w:type="dxa" w:w="80"/>
              <w:left w:type="dxa" w:w="120"/>
              <w:bottom w:type="dxa" w:w="80"/>
              <w:right w:type="dxa" w:w="120"/>
            </w:tcMar>
          </w:tcPr>
          <w:p>
            <w:pPr>
              <w:spacing w:after="100"/>
            </w:pPr>
            <w:r>
              <w:rPr>
                <w:b/>
                <w:bCs/>
                <w:color w:val="0A3242"/>
                <w:sz w:val="18"/>
                <w:szCs w:val="18"/>
              </w:rPr>
              <w:t xml:space="preserve">To this</w:t>
            </w:r>
          </w:p>
        </w:tc>
        <w:tc>
          <w:tcPr>
            <w:tcW w:type="dxa" w:w="1500"/>
            <w:shd w:fill="E8F0EC" w:val="clear"/>
            <w:tcMar>
              <w:top w:type="dxa" w:w="80"/>
              <w:left w:type="dxa" w:w="120"/>
              <w:bottom w:type="dxa" w:w="80"/>
              <w:right w:type="dxa" w:w="120"/>
            </w:tcMar>
          </w:tcPr>
          <w:p>
            <w:pPr>
              <w:spacing w:after="100"/>
            </w:pPr>
            <w:r>
              <w:rPr>
                <w:b/>
                <w:bCs/>
                <w:color w:val="0A3242"/>
                <w:sz w:val="18"/>
                <w:szCs w:val="18"/>
              </w:rPr>
              <w:t xml:space="preserve">Notes</w:t>
            </w:r>
          </w:p>
        </w:tc>
      </w:tr>
      <w:tr>
        <w:tc>
          <w:tcPr>
            <w:tcW w:type="dxa" w:w="1500"/>
            <w:tcMar>
              <w:top w:type="dxa" w:w="80"/>
              <w:left w:type="dxa" w:w="120"/>
              <w:bottom w:type="dxa" w:w="80"/>
              <w:right w:type="dxa" w:w="120"/>
            </w:tcMar>
          </w:tcPr>
          <w:p>
            <w:pPr>
              <w:spacing w:after="100"/>
            </w:pPr>
            <w:r>
              <w:rPr>
                <w:b/>
                <w:bCs/>
                <w:color w:val="0A3242"/>
                <w:sz w:val="18"/>
                <w:szCs w:val="18"/>
              </w:rPr>
              <w:t xml:space="preserve">Intro band — “Read more” closing sentence</w:t>
            </w:r>
          </w:p>
        </w:tc>
        <w:tc>
          <w:tcPr>
            <w:tcW w:type="dxa" w:w="3900"/>
            <w:tcMar>
              <w:top w:type="dxa" w:w="80"/>
              <w:left w:type="dxa" w:w="120"/>
              <w:bottom w:type="dxa" w:w="80"/>
              <w:right w:type="dxa" w:w="120"/>
            </w:tcMar>
          </w:tcPr>
          <w:p>
            <w:pPr>
              <w:spacing w:after="100"/>
            </w:pPr>
            <w:r>
              <w:rPr>
                <w:color w:val="0A3242"/>
                <w:sz w:val="18"/>
                <w:szCs w:val="18"/>
              </w:rPr>
              <w:t xml:space="preserve">The free MailPlus shipping platform, ShipMate, integrates with Shopify and WooCommerce. We're a reliable, independent alternative to Australia Post and traditional couriers.</w:t>
            </w:r>
          </w:p>
        </w:tc>
        <w:tc>
          <w:tcPr>
            <w:tcW w:type="dxa" w:w="3900"/>
            <w:shd w:fill="F3F8EE" w:val="clear"/>
            <w:tcMar>
              <w:top w:type="dxa" w:w="80"/>
              <w:left w:type="dxa" w:w="120"/>
              <w:bottom w:type="dxa" w:w="80"/>
              <w:right w:type="dxa" w:w="120"/>
            </w:tcMar>
          </w:tcPr>
          <w:p>
            <w:pPr>
              <w:spacing w:after="100"/>
            </w:pPr>
            <w:r>
              <w:rPr>
                <w:color w:val="0A3242"/>
                <w:sz w:val="18"/>
                <w:szCs w:val="18"/>
              </w:rPr>
              <w:t xml:space="preserve">The free MailPlus shipping platform, ShipMate, integrates with Shopify and WooCommerce. On your Post Office runs we work alongside Australia Post — collecting and lodging on your own account — while our express network delivers door-to-door as a reliable alternative to traditional couriers.</w:t>
            </w:r>
          </w:p>
        </w:tc>
        <w:tc>
          <w:tcPr>
            <w:tcW w:type="dxa" w:w="1500"/>
            <w:tcMar>
              <w:top w:type="dxa" w:w="80"/>
              <w:left w:type="dxa" w:w="120"/>
              <w:bottom w:type="dxa" w:w="80"/>
              <w:right w:type="dxa" w:w="120"/>
            </w:tcMar>
          </w:tcPr>
          <w:p>
            <w:pPr>
              <w:spacing w:after="100"/>
            </w:pPr>
            <w:r>
              <w:rPr>
                <w:color w:val="5B6E66"/>
                <w:sz w:val="16"/>
                <w:szCs w:val="16"/>
              </w:rPr>
              <w:t xml:space="preserve">Removes “independent alternative to Australia Post”.</w:t>
            </w:r>
          </w:p>
        </w:tc>
      </w:tr>
      <w:tr>
        <w:tc>
          <w:tcPr>
            <w:tcW w:type="dxa" w:w="1500"/>
            <w:tcMar>
              <w:top w:type="dxa" w:w="80"/>
              <w:left w:type="dxa" w:w="120"/>
              <w:bottom w:type="dxa" w:w="80"/>
              <w:right w:type="dxa" w:w="120"/>
            </w:tcMar>
          </w:tcPr>
          <w:p>
            <w:pPr>
              <w:spacing w:after="100"/>
            </w:pPr>
            <w:r>
              <w:rPr>
                <w:b/>
                <w:bCs/>
                <w:color w:val="0A3242"/>
                <w:sz w:val="18"/>
                <w:szCs w:val="18"/>
              </w:rPr>
              <w:t xml:space="preserve">Service pillars — intro paragraph</w:t>
            </w:r>
          </w:p>
        </w:tc>
        <w:tc>
          <w:tcPr>
            <w:tcW w:type="dxa" w:w="3900"/>
            <w:tcMar>
              <w:top w:type="dxa" w:w="80"/>
              <w:left w:type="dxa" w:w="120"/>
              <w:bottom w:type="dxa" w:w="80"/>
              <w:right w:type="dxa" w:w="120"/>
            </w:tcMar>
          </w:tcPr>
          <w:p>
            <w:pPr>
              <w:spacing w:after="100"/>
            </w:pPr>
            <w:r>
              <w:rPr>
                <w:color w:val="0A3242"/>
                <w:sz w:val="18"/>
                <w:szCs w:val="18"/>
              </w:rPr>
              <w:t xml:space="preserve">Whether you're trying us free, shipping express at one flat rate, or handing over the Post Office run for every site — there's a MailPlus service that gives your team its time back and keeps your shipping costs down.</w:t>
            </w:r>
          </w:p>
        </w:tc>
        <w:tc>
          <w:tcPr>
            <w:tcW w:type="dxa" w:w="3900"/>
            <w:shd w:fill="F3F8EE" w:val="clear"/>
            <w:tcMar>
              <w:top w:type="dxa" w:w="80"/>
              <w:left w:type="dxa" w:w="120"/>
              <w:bottom w:type="dxa" w:w="80"/>
              <w:right w:type="dxa" w:w="120"/>
            </w:tcMar>
          </w:tcPr>
          <w:p>
            <w:pPr>
              <w:spacing w:after="100"/>
            </w:pPr>
            <w:r>
              <w:rPr>
                <w:color w:val="0A3242"/>
                <w:sz w:val="18"/>
                <w:szCs w:val="18"/>
              </w:rPr>
              <w:t xml:space="preserve">1. Try us free on your Australia Post lodgements. 2. Ship with us and get 1–2 day express with national flat rates. 3. Hand over the Post Office run for corporate sites. However your business sends, there’s a MailPlus service that fits.</w:t>
            </w:r>
          </w:p>
        </w:tc>
        <w:tc>
          <w:tcPr>
            <w:tcW w:type="dxa" w:w="1500"/>
            <w:tcMar>
              <w:top w:type="dxa" w:w="80"/>
              <w:left w:type="dxa" w:w="120"/>
              <w:bottom w:type="dxa" w:w="80"/>
              <w:right w:type="dxa" w:w="120"/>
            </w:tcMar>
          </w:tcPr>
          <w:p>
            <w:pPr>
              <w:spacing w:after="100"/>
            </w:pPr>
            <w:r>
              <w:rPr>
                <w:color w:val="5B6E66"/>
                <w:sz w:val="16"/>
                <w:szCs w:val="16"/>
              </w:rPr>
              <w:t xml:space="preserve">The “1.” “2.” “3.” are bold.</w:t>
            </w:r>
          </w:p>
        </w:tc>
      </w:tr>
      <w:tr>
        <w:tc>
          <w:tcPr>
            <w:tcW w:type="dxa" w:w="1500"/>
            <w:tcMar>
              <w:top w:type="dxa" w:w="80"/>
              <w:left w:type="dxa" w:w="120"/>
              <w:bottom w:type="dxa" w:w="80"/>
              <w:right w:type="dxa" w:w="120"/>
            </w:tcMar>
          </w:tcPr>
          <w:p>
            <w:pPr>
              <w:spacing w:after="100"/>
            </w:pPr>
            <w:r>
              <w:rPr>
                <w:b/>
                <w:bCs/>
                <w:color w:val="0A3242"/>
                <w:sz w:val="18"/>
                <w:szCs w:val="18"/>
              </w:rPr>
              <w:t xml:space="preserve">Pillar 1 (5 Free Collections) — badge</w:t>
            </w:r>
          </w:p>
        </w:tc>
        <w:tc>
          <w:tcPr>
            <w:tcW w:type="dxa" w:w="3900"/>
            <w:tcMar>
              <w:top w:type="dxa" w:w="80"/>
              <w:left w:type="dxa" w:w="120"/>
              <w:bottom w:type="dxa" w:w="80"/>
              <w:right w:type="dxa" w:w="120"/>
            </w:tcMar>
          </w:tcPr>
          <w:p>
            <w:pPr>
              <w:spacing w:after="100"/>
            </w:pPr>
            <w:r>
              <w:rPr>
                <w:color w:val="0A3242"/>
                <w:sz w:val="18"/>
                <w:szCs w:val="18"/>
              </w:rPr>
              <w:t xml:space="preserve">★ Launch offer</w:t>
            </w:r>
          </w:p>
        </w:tc>
        <w:tc>
          <w:tcPr>
            <w:tcW w:type="dxa" w:w="3900"/>
            <w:shd w:fill="F3F8EE" w:val="clear"/>
            <w:tcMar>
              <w:top w:type="dxa" w:w="80"/>
              <w:left w:type="dxa" w:w="120"/>
              <w:bottom w:type="dxa" w:w="80"/>
              <w:right w:type="dxa" w:w="120"/>
            </w:tcMar>
          </w:tcPr>
          <w:p>
            <w:pPr>
              <w:spacing w:after="100"/>
            </w:pPr>
            <w:r>
              <w:rPr>
                <w:color w:val="0A3242"/>
                <w:sz w:val="18"/>
                <w:szCs w:val="18"/>
              </w:rPr>
              <w:t xml:space="preserve">★ For Aus Post customers</w:t>
            </w:r>
          </w:p>
        </w:tc>
        <w:tc>
          <w:tcPr>
            <w:tcW w:type="dxa" w:w="1500"/>
            <w:tcMar>
              <w:top w:type="dxa" w:w="80"/>
              <w:left w:type="dxa" w:w="120"/>
              <w:bottom w:type="dxa" w:w="80"/>
              <w:right w:type="dxa" w:w="120"/>
            </w:tcMar>
          </w:tcPr>
          <w:p>
            <w:pPr>
              <w:spacing w:after="100"/>
            </w:pPr>
            <w:r>
              <w:rPr>
                <w:color w:val="5B6E66"/>
                <w:sz w:val="16"/>
                <w:szCs w:val="16"/>
              </w:rPr>
              <w:t xml:space="preserve">Check pill wrap on mobile; shorter fallback: “★ Aus Post customers”.</w:t>
            </w:r>
          </w:p>
        </w:tc>
      </w:tr>
      <w:tr>
        <w:tc>
          <w:tcPr>
            <w:tcW w:type="dxa" w:w="1500"/>
            <w:tcMar>
              <w:top w:type="dxa" w:w="80"/>
              <w:left w:type="dxa" w:w="120"/>
              <w:bottom w:type="dxa" w:w="80"/>
              <w:right w:type="dxa" w:w="120"/>
            </w:tcMar>
          </w:tcPr>
          <w:p>
            <w:pPr>
              <w:spacing w:after="100"/>
            </w:pPr>
            <w:r>
              <w:rPr>
                <w:b/>
                <w:bCs/>
                <w:color w:val="0A3242"/>
                <w:sz w:val="18"/>
                <w:szCs w:val="18"/>
              </w:rPr>
              <w:t xml:space="preserve">Pillar 1 — body paragraph</w:t>
            </w:r>
          </w:p>
        </w:tc>
        <w:tc>
          <w:tcPr>
            <w:tcW w:type="dxa" w:w="3900"/>
            <w:tcMar>
              <w:top w:type="dxa" w:w="80"/>
              <w:left w:type="dxa" w:w="120"/>
              <w:bottom w:type="dxa" w:w="80"/>
              <w:right w:type="dxa" w:w="120"/>
            </w:tcMar>
          </w:tcPr>
          <w:p>
            <w:pPr>
              <w:spacing w:after="100"/>
            </w:pPr>
            <w:r>
              <w:rPr>
                <w:color w:val="0A3242"/>
                <w:sz w:val="18"/>
                <w:szCs w:val="18"/>
              </w:rPr>
              <w:t xml:space="preserve">Five collections, completely on us. A local owner-operator comes to you, collects your parcels and mail, and lodges them at the Post Office — so your team stops losing hours to the queue. No card, no catch.</w:t>
            </w:r>
          </w:p>
        </w:tc>
        <w:tc>
          <w:tcPr>
            <w:tcW w:type="dxa" w:w="3900"/>
            <w:shd w:fill="F3F8EE" w:val="clear"/>
            <w:tcMar>
              <w:top w:type="dxa" w:w="80"/>
              <w:left w:type="dxa" w:w="120"/>
              <w:bottom w:type="dxa" w:w="80"/>
              <w:right w:type="dxa" w:w="120"/>
            </w:tcMar>
          </w:tcPr>
          <w:p>
            <w:pPr>
              <w:spacing w:after="100"/>
            </w:pPr>
            <w:r>
              <w:rPr>
                <w:color w:val="0A3242"/>
                <w:sz w:val="18"/>
                <w:szCs w:val="18"/>
              </w:rPr>
              <w:t xml:space="preserve">Five collections, completely on us — for businesses that send with Australia Post. Your local owner-operator picks up your parcels and mail — eParcel, MyPost Business or general mail items — and lodges them on your own Aus Post account. No card, no catch.</w:t>
            </w:r>
          </w:p>
        </w:tc>
        <w:tc>
          <w:tcPr>
            <w:tcW w:type="dxa" w:w="1500"/>
            <w:tcMar>
              <w:top w:type="dxa" w:w="80"/>
              <w:left w:type="dxa" w:w="120"/>
              <w:bottom w:type="dxa" w:w="80"/>
              <w:right w:type="dxa" w:w="120"/>
            </w:tcMar>
          </w:tcPr>
          <w:p>
            <w:pPr>
              <w:spacing w:after="100"/>
            </w:pPr>
            <w:r>
              <w:rPr>
                <w:color w:val="5B6E66"/>
                <w:sz w:val="16"/>
                <w:szCs w:val="16"/>
              </w:rPr>
              <w:t xml:space="preserve"/>
            </w:r>
          </w:p>
        </w:tc>
      </w:tr>
      <w:tr>
        <w:tc>
          <w:tcPr>
            <w:tcW w:type="dxa" w:w="1500"/>
            <w:tcMar>
              <w:top w:type="dxa" w:w="80"/>
              <w:left w:type="dxa" w:w="120"/>
              <w:bottom w:type="dxa" w:w="80"/>
              <w:right w:type="dxa" w:w="120"/>
            </w:tcMar>
          </w:tcPr>
          <w:p>
            <w:pPr>
              <w:spacing w:after="100"/>
            </w:pPr>
            <w:r>
              <w:rPr>
                <w:b/>
                <w:bCs/>
                <w:color w:val="0A3242"/>
                <w:sz w:val="18"/>
                <w:szCs w:val="18"/>
              </w:rPr>
              <w:t xml:space="preserve">Pillar 1 — third bullet</w:t>
            </w:r>
          </w:p>
        </w:tc>
        <w:tc>
          <w:tcPr>
            <w:tcW w:type="dxa" w:w="3900"/>
            <w:tcMar>
              <w:top w:type="dxa" w:w="80"/>
              <w:left w:type="dxa" w:w="120"/>
              <w:bottom w:type="dxa" w:w="80"/>
              <w:right w:type="dxa" w:w="120"/>
            </w:tcMar>
          </w:tcPr>
          <w:p>
            <w:pPr>
              <w:spacing w:after="100"/>
            </w:pPr>
            <w:r>
              <w:rPr>
                <w:color w:val="0A3242"/>
                <w:sz w:val="18"/>
                <w:szCs w:val="18"/>
              </w:rPr>
              <w:t xml:space="preserve">Win back the time spent queueing</w:t>
            </w:r>
          </w:p>
        </w:tc>
        <w:tc>
          <w:tcPr>
            <w:tcW w:type="dxa" w:w="3900"/>
            <w:shd w:fill="F3F8EE" w:val="clear"/>
            <w:tcMar>
              <w:top w:type="dxa" w:w="80"/>
              <w:left w:type="dxa" w:w="120"/>
              <w:bottom w:type="dxa" w:w="80"/>
              <w:right w:type="dxa" w:w="120"/>
            </w:tcMar>
          </w:tcPr>
          <w:p>
            <w:pPr>
              <w:spacing w:after="100"/>
            </w:pPr>
            <w:r>
              <w:rPr>
                <w:color w:val="0A3242"/>
                <w:sz w:val="18"/>
                <w:szCs w:val="18"/>
              </w:rPr>
              <w:t xml:space="preserve">Lodged on your own Aus Post account — rates &amp; tracking unchanged</w:t>
            </w:r>
          </w:p>
        </w:tc>
        <w:tc>
          <w:tcPr>
            <w:tcW w:type="dxa" w:w="1500"/>
            <w:tcMar>
              <w:top w:type="dxa" w:w="80"/>
              <w:left w:type="dxa" w:w="120"/>
              <w:bottom w:type="dxa" w:w="80"/>
              <w:right w:type="dxa" w:w="120"/>
            </w:tcMar>
          </w:tcPr>
          <w:p>
            <w:pPr>
              <w:spacing w:after="100"/>
            </w:pPr>
            <w:r>
              <w:rPr>
                <w:color w:val="5B6E66"/>
                <w:sz w:val="16"/>
                <w:szCs w:val="16"/>
              </w:rPr>
              <w:t xml:space="preserve"/>
            </w:r>
          </w:p>
        </w:tc>
      </w:tr>
      <w:tr>
        <w:tc>
          <w:tcPr>
            <w:tcW w:type="dxa" w:w="1500"/>
            <w:tcMar>
              <w:top w:type="dxa" w:w="80"/>
              <w:left w:type="dxa" w:w="120"/>
              <w:bottom w:type="dxa" w:w="80"/>
              <w:right w:type="dxa" w:w="120"/>
            </w:tcMar>
          </w:tcPr>
          <w:p>
            <w:pPr>
              <w:spacing w:after="100"/>
            </w:pPr>
            <w:r>
              <w:rPr>
                <w:b/>
                <w:bCs/>
                <w:color w:val="0A3242"/>
                <w:sz w:val="18"/>
                <w:szCs w:val="18"/>
              </w:rPr>
              <w:t xml:space="preserve">Pillar 2 (Express) — second bullet</w:t>
            </w:r>
          </w:p>
        </w:tc>
        <w:tc>
          <w:tcPr>
            <w:tcW w:type="dxa" w:w="3900"/>
            <w:tcMar>
              <w:top w:type="dxa" w:w="80"/>
              <w:left w:type="dxa" w:w="120"/>
              <w:bottom w:type="dxa" w:w="80"/>
              <w:right w:type="dxa" w:w="120"/>
            </w:tcMar>
          </w:tcPr>
          <w:p>
            <w:pPr>
              <w:spacing w:after="100"/>
            </w:pPr>
            <w:r>
              <w:rPr>
                <w:color w:val="0A3242"/>
                <w:sz w:val="18"/>
                <w:szCs w:val="18"/>
              </w:rPr>
              <w:t xml:space="preserve">One flat rate up to 5kg — no surprises</w:t>
            </w:r>
          </w:p>
        </w:tc>
        <w:tc>
          <w:tcPr>
            <w:tcW w:type="dxa" w:w="3900"/>
            <w:shd w:fill="F3F8EE" w:val="clear"/>
            <w:tcMar>
              <w:top w:type="dxa" w:w="80"/>
              <w:left w:type="dxa" w:w="120"/>
              <w:bottom w:type="dxa" w:w="80"/>
              <w:right w:type="dxa" w:w="120"/>
            </w:tcMar>
          </w:tcPr>
          <w:p>
            <w:pPr>
              <w:spacing w:after="100"/>
            </w:pPr>
            <w:r>
              <w:rPr>
                <w:color w:val="0A3242"/>
                <w:sz w:val="18"/>
                <w:szCs w:val="18"/>
              </w:rPr>
              <w:t xml:space="preserve">National flat-rates up to 5kg — no surprises</w:t>
            </w:r>
          </w:p>
        </w:tc>
        <w:tc>
          <w:tcPr>
            <w:tcW w:type="dxa" w:w="1500"/>
            <w:tcMar>
              <w:top w:type="dxa" w:w="80"/>
              <w:left w:type="dxa" w:w="120"/>
              <w:bottom w:type="dxa" w:w="80"/>
              <w:right w:type="dxa" w:w="120"/>
            </w:tcMar>
          </w:tcPr>
          <w:p>
            <w:pPr>
              <w:spacing w:after="100"/>
            </w:pPr>
            <w:r>
              <w:rPr>
                <w:color w:val="5B6E66"/>
                <w:sz w:val="16"/>
                <w:szCs w:val="16"/>
              </w:rPr>
              <w:t xml:space="preserve">Matches “National flat-rates” in the fact banner.</w:t>
            </w:r>
          </w:p>
        </w:tc>
      </w:tr>
      <w:tr>
        <w:tc>
          <w:tcPr>
            <w:tcW w:type="dxa" w:w="1500"/>
            <w:tcMar>
              <w:top w:type="dxa" w:w="80"/>
              <w:left w:type="dxa" w:w="120"/>
              <w:bottom w:type="dxa" w:w="80"/>
              <w:right w:type="dxa" w:w="120"/>
            </w:tcMar>
          </w:tcPr>
          <w:p>
            <w:pPr>
              <w:spacing w:after="100"/>
            </w:pPr>
            <w:r>
              <w:rPr>
                <w:b/>
                <w:bCs/>
                <w:color w:val="0A3242"/>
                <w:sz w:val="18"/>
                <w:szCs w:val="18"/>
              </w:rPr>
              <w:t xml:space="preserve">FAQ — “How are the 5 free collections free?”</w:t>
            </w:r>
          </w:p>
        </w:tc>
        <w:tc>
          <w:tcPr>
            <w:tcW w:type="dxa" w:w="3900"/>
            <w:tcMar>
              <w:top w:type="dxa" w:w="80"/>
              <w:left w:type="dxa" w:w="120"/>
              <w:bottom w:type="dxa" w:w="80"/>
              <w:right w:type="dxa" w:w="120"/>
            </w:tcMar>
          </w:tcPr>
          <w:p>
            <w:pPr>
              <w:spacing w:after="100"/>
            </w:pPr>
            <w:r>
              <w:rPr>
                <w:color w:val="0A3242"/>
                <w:sz w:val="18"/>
                <w:szCs w:val="18"/>
              </w:rPr>
              <w:t xml:space="preserve">We'd rather show you than tell you. New business customers get five parcel collections completely free — your local owner-operator comes to you, collects, and delivers, whether that's lodging your Australia Post parcels or a hand-to-hand local delivery. No credit card and no obligation — it's the simplest way to see how much time the service saves before you commit.</w:t>
            </w:r>
          </w:p>
        </w:tc>
        <w:tc>
          <w:tcPr>
            <w:tcW w:type="dxa" w:w="3900"/>
            <w:shd w:fill="F3F8EE" w:val="clear"/>
            <w:tcMar>
              <w:top w:type="dxa" w:w="80"/>
              <w:left w:type="dxa" w:w="120"/>
              <w:bottom w:type="dxa" w:w="80"/>
              <w:right w:type="dxa" w:w="120"/>
            </w:tcMar>
          </w:tcPr>
          <w:p>
            <w:pPr>
              <w:spacing w:after="100"/>
            </w:pPr>
            <w:r>
              <w:rPr>
                <w:color w:val="0A3242"/>
                <w:sz w:val="18"/>
                <w:szCs w:val="18"/>
              </w:rPr>
              <w:t xml:space="preserve">We'd rather show you than tell you. Businesses that send with Australia Post get five collections completely free — your local owner-operator picks up your parcels and mail and lodges them at the Post Office on your own Aus Post account, so your rates and tracking don't change. No credit card and no obligation — it's the simplest way to see how much time the service saves before you commit.</w:t>
            </w:r>
          </w:p>
        </w:tc>
        <w:tc>
          <w:tcPr>
            <w:tcW w:type="dxa" w:w="1500"/>
            <w:tcMar>
              <w:top w:type="dxa" w:w="80"/>
              <w:left w:type="dxa" w:w="120"/>
              <w:bottom w:type="dxa" w:w="80"/>
              <w:right w:type="dxa" w:w="120"/>
            </w:tcMar>
          </w:tcPr>
          <w:p>
            <w:pPr>
              <w:spacing w:after="100"/>
            </w:pPr>
            <w:r>
              <w:rPr>
                <w:color w:val="5B6E66"/>
                <w:sz w:val="16"/>
                <w:szCs w:val="16"/>
              </w:rPr>
              <w:t xml:space="preserve">Update visible answer AND the FAQPage JSON-LD in &lt;head&gt;. Removes hand-to-hand tie to the offer.</w:t>
            </w:r>
          </w:p>
        </w:tc>
      </w:tr>
      <w:tr>
        <w:tc>
          <w:tcPr>
            <w:tcW w:type="dxa" w:w="1500"/>
            <w:tcMar>
              <w:top w:type="dxa" w:w="80"/>
              <w:left w:type="dxa" w:w="120"/>
              <w:bottom w:type="dxa" w:w="80"/>
              <w:right w:type="dxa" w:w="120"/>
            </w:tcMar>
          </w:tcPr>
          <w:p>
            <w:pPr>
              <w:spacing w:after="100"/>
            </w:pPr>
            <w:r>
              <w:rPr>
                <w:b/>
                <w:bCs/>
                <w:color w:val="0A3242"/>
                <w:sz w:val="18"/>
                <w:szCs w:val="18"/>
              </w:rPr>
              <w:t xml:space="preserve">FAQ — “Why choose MailPlus over Australia Post?” — closing sentence</w:t>
            </w:r>
          </w:p>
        </w:tc>
        <w:tc>
          <w:tcPr>
            <w:tcW w:type="dxa" w:w="3900"/>
            <w:tcMar>
              <w:top w:type="dxa" w:w="80"/>
              <w:left w:type="dxa" w:w="120"/>
              <w:bottom w:type="dxa" w:w="80"/>
              <w:right w:type="dxa" w:w="120"/>
            </w:tcMar>
          </w:tcPr>
          <w:p>
            <w:pPr>
              <w:spacing w:after="100"/>
            </w:pPr>
            <w:r>
              <w:rPr>
                <w:color w:val="0A3242"/>
                <w:sz w:val="18"/>
                <w:szCs w:val="18"/>
              </w:rPr>
              <w:t xml:space="preserve">We're an independent alternative to Australia Post and traditional couriers.</w:t>
            </w:r>
          </w:p>
        </w:tc>
        <w:tc>
          <w:tcPr>
            <w:tcW w:type="dxa" w:w="3900"/>
            <w:shd w:fill="F3F8EE" w:val="clear"/>
            <w:tcMar>
              <w:top w:type="dxa" w:w="80"/>
              <w:left w:type="dxa" w:w="120"/>
              <w:bottom w:type="dxa" w:w="80"/>
              <w:right w:type="dxa" w:w="120"/>
            </w:tcMar>
          </w:tcPr>
          <w:p>
            <w:pPr>
              <w:spacing w:after="100"/>
            </w:pPr>
            <w:r>
              <w:rPr>
                <w:color w:val="0A3242"/>
                <w:sz w:val="18"/>
                <w:szCs w:val="18"/>
              </w:rPr>
              <w:t xml:space="preserve">And if you send with Australia Post, nothing changes: we collect and lodge on your own account, working alongside the Post Office rather than replacing it.</w:t>
            </w:r>
          </w:p>
        </w:tc>
        <w:tc>
          <w:tcPr>
            <w:tcW w:type="dxa" w:w="1500"/>
            <w:tcMar>
              <w:top w:type="dxa" w:w="80"/>
              <w:left w:type="dxa" w:w="120"/>
              <w:bottom w:type="dxa" w:w="80"/>
              <w:right w:type="dxa" w:w="120"/>
            </w:tcMar>
          </w:tcPr>
          <w:p>
            <w:pPr>
              <w:spacing w:after="100"/>
            </w:pPr>
            <w:r>
              <w:rPr>
                <w:color w:val="5B6E66"/>
                <w:sz w:val="16"/>
                <w:szCs w:val="16"/>
              </w:rPr>
              <w:t xml:space="preserve">First two sentences unchanged. Visible + JSON-LD.</w:t>
            </w:r>
          </w:p>
        </w:tc>
      </w:tr>
      <w:tr>
        <w:tc>
          <w:tcPr>
            <w:tcW w:type="dxa" w:w="1500"/>
            <w:tcMar>
              <w:top w:type="dxa" w:w="80"/>
              <w:left w:type="dxa" w:w="120"/>
              <w:bottom w:type="dxa" w:w="80"/>
              <w:right w:type="dxa" w:w="120"/>
            </w:tcMar>
          </w:tcPr>
          <w:p>
            <w:pPr>
              <w:spacing w:after="100"/>
            </w:pPr>
            <w:r>
              <w:rPr>
                <w:b/>
                <w:bCs/>
                <w:color w:val="0A3242"/>
                <w:sz w:val="18"/>
                <w:szCs w:val="18"/>
              </w:rPr>
              <w:t xml:space="preserve">Closing enquiry band — paragraph opener</w:t>
            </w:r>
          </w:p>
        </w:tc>
        <w:tc>
          <w:tcPr>
            <w:tcW w:type="dxa" w:w="3900"/>
            <w:tcMar>
              <w:top w:type="dxa" w:w="80"/>
              <w:left w:type="dxa" w:w="120"/>
              <w:bottom w:type="dxa" w:w="80"/>
              <w:right w:type="dxa" w:w="120"/>
            </w:tcMar>
          </w:tcPr>
          <w:p>
            <w:pPr>
              <w:spacing w:after="100"/>
            </w:pPr>
            <w:r>
              <w:rPr>
                <w:color w:val="0A3242"/>
                <w:sz w:val="18"/>
                <w:szCs w:val="18"/>
              </w:rPr>
              <w:t xml:space="preserve">Start with five free collections — no card, no catch. Enter your address and…</w:t>
            </w:r>
          </w:p>
        </w:tc>
        <w:tc>
          <w:tcPr>
            <w:tcW w:type="dxa" w:w="3900"/>
            <w:shd w:fill="F3F8EE" w:val="clear"/>
            <w:tcMar>
              <w:top w:type="dxa" w:w="80"/>
              <w:left w:type="dxa" w:w="120"/>
              <w:bottom w:type="dxa" w:w="80"/>
              <w:right w:type="dxa" w:w="120"/>
            </w:tcMar>
          </w:tcPr>
          <w:p>
            <w:pPr>
              <w:spacing w:after="100"/>
            </w:pPr>
            <w:r>
              <w:rPr>
                <w:color w:val="0A3242"/>
                <w:sz w:val="18"/>
                <w:szCs w:val="18"/>
              </w:rPr>
              <w:t xml:space="preserve">Send with Australia Post? Start with five free collections — no card, no catch. Enter your address and…</w:t>
            </w:r>
          </w:p>
        </w:tc>
        <w:tc>
          <w:tcPr>
            <w:tcW w:type="dxa" w:w="1500"/>
            <w:tcMar>
              <w:top w:type="dxa" w:w="80"/>
              <w:left w:type="dxa" w:w="120"/>
              <w:bottom w:type="dxa" w:w="80"/>
              <w:right w:type="dxa" w:w="120"/>
            </w:tcMar>
          </w:tcPr>
          <w:p>
            <w:pPr>
              <w:spacing w:after="100"/>
            </w:pPr>
            <w:r>
              <w:rPr>
                <w:color w:val="5B6E66"/>
                <w:sz w:val="16"/>
                <w:szCs w:val="16"/>
              </w:rPr>
              <w:t xml:space="preserve">Only the opener changes; rest of paragraph unchanged.</w:t>
            </w:r>
          </w:p>
        </w:tc>
      </w:tr>
    </w:tbl>
    <w:p>
      <w:pPr>
        <w:pStyle w:val="Heading1"/>
        <w:spacing w:after="120" w:before="240"/>
      </w:pPr>
      <w:r>
        <w:rPr>
          <w:b/>
          <w:bCs/>
          <w:color w:val="025D7C"/>
        </w:rPr>
        <w:t xml:space="preserve">Deliberately unchanged — please don’t “fix” these</w:t>
      </w:r>
    </w:p>
    <w:p>
      <w:pPr>
        <w:spacing w:after="100"/>
      </w:pPr>
      <w:r>
        <w:rPr>
          <w:color w:val="0A3242"/>
          <w:sz w:val="18"/>
          <w:szCs w:val="18"/>
        </w:rPr>
        <w:t xml:space="preserve">• Hero (“Ship overnight. Skip the queue.”) — whole-of-company positioning, stays as is.</w:t>
      </w:r>
    </w:p>
    <w:p>
      <w:pPr>
        <w:spacing w:after="100"/>
      </w:pPr>
      <w:r>
        <w:rPr>
          <w:color w:val="0A3242"/>
          <w:sz w:val="18"/>
          <w:szCs w:val="18"/>
        </w:rPr>
        <w:t xml:space="preserve">• “Local Hand-to-Hand Delivery” in the LocalBusiness schema and the footer service line — a genuine company-wide service; only copy tying deliveries to the 5 Free offer was removed.</w:t>
      </w:r>
    </w:p>
    <w:p>
      <w:pPr>
        <w:spacing w:after="160"/>
      </w:pPr>
      <w:r>
        <w:rPr>
          <w:color w:val="0A3242"/>
          <w:sz w:val="18"/>
          <w:szCs w:val="18"/>
        </w:rPr>
        <w:t xml:space="preserve">• All other FAQs, the fact banner, differentiators, reviews and tracking sections.</w:t>
      </w:r>
    </w:p>
    <w:p>
      <w:pPr>
        <w:spacing w:after="100"/>
      </w:pPr>
      <w:r>
        <w:rPr>
          <w:color w:val="5B6E66"/>
          <w:sz w:val="18"/>
          <w:szCs w:val="18"/>
        </w:rPr>
        <w:t xml:space="preserve">After deploying, re-run the FAQ JSON-LD through Google’s Rich Results test — two answers changed.</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324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2026-08-21T00:32:09.812Z</dcterms:created>
  <dcterms:modified xsi:type="dcterms:W3CDTF">2026-08-21T00:32:09.826Z</dcterms:modified>
</cp:coreProperties>
</file>

<file path=docProps/custom.xml><?xml version="1.0" encoding="utf-8"?>
<Properties xmlns="http://schemas.openxmlformats.org/officeDocument/2006/custom-properties" xmlns:vt="http://schemas.openxmlformats.org/officeDocument/2006/docPropsVTypes"/>
</file>