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b/>
          <w:bCs/>
          <w:color w:val="095C7B"/>
          <w:sz w:val="44"/>
          <w:szCs w:val="44"/>
        </w:rPr>
        <w:t xml:space="preserve">ProspectPlus Lead Intelligence &amp; Enrichment Guide</w:t>
      </w:r>
    </w:p>
    <w:p>
      <w:pPr>
        <w:spacing w:after="300" w:before="0"/>
      </w:pPr>
      <w:r>
        <w:rPr>
          <w:i/>
          <w:iCs/>
          <w:color w:val="64748B"/>
          <w:sz w:val="24"/>
          <w:szCs w:val="24"/>
        </w:rPr>
        <w:t xml:space="preserve">Operational Manual for Sales Managers &amp; Executive Leadership</w:t>
      </w:r>
    </w:p>
    <w:p>
      <w:pPr>
        <w:pStyle w:val="Heading2"/>
        <w:spacing w:after="120" w:before="240"/>
      </w:pPr>
      <w:r>
        <w:rPr>
          <w:b/>
          <w:bCs/>
          <w:color w:val="095C7B"/>
          <w:sz w:val="28"/>
          <w:szCs w:val="28"/>
        </w:rPr>
        <w:t xml:space="preserve">1. Executive Summary &amp; Objective</w:t>
      </w:r>
    </w:p>
    <w:p>
      <w:r>
        <w:t xml:space="preserve">The Lead Intelligence &amp; Reach Hub in ProspectPlus is an enterprise sales enrichment system that combines automated AI website crawling with live Agent Reach web and LinkedIn search. In under 10 seconds, it provides sales representatives with an auditable commercial profile, identified parcel carriers, warehouse dispatch cutoff times, and direct LinkedIn decision makers.</w:t>
      </w:r>
    </w:p>
    <w:p>
      <w:r>
        <w:rPr>
          <w:b/>
          <w:bCs/>
        </w:rPr>
        <w:t xml:space="preserve">Key Benefits for Sales Leadership:</w:t>
      </w:r>
    </w:p>
    <w:p>
      <w:pPr>
        <w:pStyle w:val="ListParagraph"/>
        <w:numPr>
          <w:ilvl w:val="0"/>
          <w:numId w:val="1"/>
        </w:numPr>
      </w:pPr>
      <w:r>
        <w:rPr>
          <w:b/>
          <w:bCs/>
        </w:rPr>
        <w:t xml:space="preserve">Zero Manual Pre-Call Research: </w:t>
      </w:r>
      <w:r>
        <w:t xml:space="preserve">Reps spend 100% of their prep time pitching rather than combing corporate websites, LinkedIn, and registers.</w:t>
      </w:r>
    </w:p>
    <w:p>
      <w:pPr>
        <w:pStyle w:val="ListParagraph"/>
        <w:numPr>
          <w:ilvl w:val="0"/>
          <w:numId w:val="1"/>
        </w:numPr>
      </w:pPr>
      <w:r>
        <w:rPr>
          <w:b/>
          <w:bCs/>
        </w:rPr>
        <w:t xml:space="preserve">Accurate Courier &amp; Dispatch Footprint: </w:t>
      </w:r>
      <w:r>
        <w:t xml:space="preserve">Identifies whether the prospect ships with Australia Post, StarTrack, Sendle, or Aramex, their order cutoff times, and return policies.</w:t>
      </w:r>
    </w:p>
    <w:p>
      <w:pPr>
        <w:pStyle w:val="ListParagraph"/>
        <w:numPr>
          <w:ilvl w:val="0"/>
          <w:numId w:val="1"/>
        </w:numPr>
      </w:pPr>
      <w:r>
        <w:rPr>
          <w:b/>
          <w:bCs/>
        </w:rPr>
        <w:t xml:space="preserve">Direct Access to Decision Makers: </w:t>
      </w:r>
      <w:r>
        <w:t xml:space="preserve">Indexed LinkedIn profiles of Logistics, Warehouse, and Operations managers with 1-click addition to CRM contacts.</w:t>
      </w:r>
    </w:p>
    <w:p>
      <w:pPr>
        <w:pStyle w:val="ListParagraph"/>
        <w:numPr>
          <w:ilvl w:val="0"/>
          <w:numId w:val="1"/>
        </w:numPr>
      </w:pPr>
      <w:r>
        <w:rPr>
          <w:b/>
          <w:bCs/>
        </w:rPr>
        <w:t xml:space="preserve">Competitor Delivery Delays: </w:t>
      </w:r>
      <w:r>
        <w:t xml:space="preserve">Flags public complaints regarding delays with competitor carriers to give sales reps immediate pain-point leverage.</w:t>
      </w:r>
    </w:p>
    <w:p>
      <w:pPr>
        <w:pStyle w:val="Heading2"/>
        <w:spacing w:after="120" w:before="300"/>
      </w:pPr>
      <w:r>
        <w:rPr>
          <w:b/>
          <w:bCs/>
          <w:color w:val="095C7B"/>
          <w:sz w:val="28"/>
          <w:szCs w:val="28"/>
        </w:rPr>
        <w:t xml:space="preserve">2. Where It Is Located on the Lead Profile Page</w:t>
      </w:r>
    </w:p>
    <w:p>
      <w:r>
        <w:t xml:space="preserve">To view enriched data for any company in ProspectPlus, open the lead record and select the </w:t>
      </w:r>
      <w:r>
        <w:rPr>
          <w:b/>
          <w:bCs/>
        </w:rPr>
        <w:t xml:space="preserve">"Discovery"</w:t>
      </w:r>
      <w:r>
        <w:t xml:space="preserve"> tab. The Lead Intelligence &amp; Reach Hub is prominently positioned at the very top of this tab.</w:t>
      </w:r>
    </w:p>
    <w:p>
      <w:r>
        <w:t xml:space="preserve">Top Action Buttons (Header):
• [Run Complete Intel (AI + Agent Reach)]: Primary action that triggers both website crawling and live web/LinkedIn intelligence simultaneously.
• [Decision Makers ({count})]: Opens the modal to review indexed operational personnel and add them to CRM contacts.</w:t>
      </w:r>
    </w:p>
    <w:p>
      <w:pPr>
        <w:pStyle w:val="Heading2"/>
        <w:spacing w:after="120" w:before="300"/>
      </w:pPr>
      <w:r>
        <w:rPr>
          <w:b/>
          <w:bCs/>
          <w:color w:val="095C7B"/>
          <w:sz w:val="28"/>
          <w:szCs w:val="28"/>
        </w:rPr>
        <w:t xml:space="preserve">3. How Leads Can Be Enriched (3 Workflows)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3159"/>
        <w:gridCol w:w="3610"/>
      </w:tblGrid>
      <w:tr>
        <w:tc>
          <w:tcPr>
            <w:tcW w:type="pct" w:w="1250"/>
            <w:shd w:fill="095C7B" w:val="clear"/>
            <w:tcMar>
              <w:top w:type="dxa" w:w="120"/>
              <w:left w:type="dxa" w:w="140"/>
              <w:bottom w:type="dxa" w:w="120"/>
              <w:right w:type="dxa" w:w="140"/>
            </w:tcMar>
          </w:tcPr>
          <w:p>
            <w:r>
              <w:rPr>
                <w:b/>
                <w:bCs/>
                <w:color w:val="FFFFFF"/>
                <w:sz w:val="20"/>
                <w:szCs w:val="20"/>
              </w:rPr>
              <w:t xml:space="preserve">Workflow</w:t>
            </w:r>
          </w:p>
        </w:tc>
        <w:tc>
          <w:tcPr>
            <w:tcW w:type="pct" w:w="1750"/>
            <w:shd w:fill="095C7B" w:val="clear"/>
            <w:tcMar>
              <w:top w:type="dxa" w:w="120"/>
              <w:left w:type="dxa" w:w="140"/>
              <w:bottom w:type="dxa" w:w="120"/>
              <w:right w:type="dxa" w:w="140"/>
            </w:tcMar>
          </w:tcPr>
          <w:p>
            <w:r>
              <w:rPr>
                <w:b/>
                <w:bCs/>
                <w:color w:val="FFFFFF"/>
                <w:sz w:val="20"/>
                <w:szCs w:val="20"/>
              </w:rPr>
              <w:t xml:space="preserve">Location &amp; Action</w:t>
            </w:r>
          </w:p>
        </w:tc>
        <w:tc>
          <w:tcPr>
            <w:tcW w:type="pct" w:w="2000"/>
            <w:shd w:fill="095C7B" w:val="clear"/>
            <w:tcMar>
              <w:top w:type="dxa" w:w="120"/>
              <w:left w:type="dxa" w:w="140"/>
              <w:bottom w:type="dxa" w:w="120"/>
              <w:right w:type="dxa" w:w="140"/>
            </w:tcMar>
          </w:tcPr>
          <w:p>
            <w:r>
              <w:rPr>
                <w:b/>
                <w:bCs/>
                <w:color w:val="FFFFFF"/>
                <w:sz w:val="20"/>
                <w:szCs w:val="20"/>
              </w:rPr>
              <w:t xml:space="preserve">Outcome</w:t>
            </w:r>
          </w:p>
        </w:tc>
      </w:tr>
      <w:tr>
        <w:tc>
          <w:tcPr>
            <w:tcW w:type="pct" w:w="1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b/>
                <w:bCs/>
                <w:color w:val="1E293B"/>
                <w:sz w:val="19"/>
                <w:szCs w:val="19"/>
              </w:rPr>
              <w:t xml:space="preserve">1-Click Direct Intel</w:t>
            </w:r>
          </w:p>
        </w:tc>
        <w:tc>
          <w:tcPr>
            <w:tcW w:type="pct" w:w="17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b w:val="false"/>
                <w:bCs w:val="false"/>
                <w:color w:val="1E293B"/>
                <w:sz w:val="19"/>
                <w:szCs w:val="19"/>
              </w:rPr>
              <w:t xml:space="preserve">Lead Profile -&gt; Discovery tab -&gt; Click "Run Complete Intel"</w:t>
            </w:r>
          </w:p>
        </w:tc>
        <w:tc>
          <w:tcPr>
            <w:tcW w:type="pct"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b w:val="false"/>
                <w:bCs w:val="false"/>
                <w:color w:val="1E293B"/>
                <w:sz w:val="19"/>
                <w:szCs w:val="19"/>
              </w:rPr>
              <w:t xml:space="preserve">Crawls website + indexes carriers, cutoff times, and LinkedIn in 5-8 seconds.</w:t>
            </w:r>
          </w:p>
        </w:tc>
      </w:tr>
      <w:tr>
        <w:tc>
          <w:tcPr>
            <w:tcW w:type="pct" w:w="1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b/>
                <w:bCs/>
                <w:color w:val="1E293B"/>
                <w:sz w:val="19"/>
                <w:szCs w:val="19"/>
              </w:rPr>
              <w:t xml:space="preserve">Batch Bulk Enrichment</w:t>
            </w:r>
          </w:p>
        </w:tc>
        <w:tc>
          <w:tcPr>
            <w:tcW w:type="pct" w:w="17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b w:val="false"/>
                <w:bCs w:val="false"/>
                <w:color w:val="1E293B"/>
                <w:sz w:val="19"/>
                <w:szCs w:val="19"/>
              </w:rPr>
              <w:t xml:space="preserve">Outbound Leads Table -&gt; Check rows -&gt; Click "Enrich with AI"</w:t>
            </w:r>
          </w:p>
        </w:tc>
        <w:tc>
          <w:tcPr>
            <w:tcW w:type="pct"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b w:val="false"/>
                <w:bCs w:val="false"/>
                <w:color w:val="1E293B"/>
                <w:sz w:val="19"/>
                <w:szCs w:val="19"/>
              </w:rPr>
              <w:t xml:space="preserve">Runs asynchronous bulk crawling and live intelligence across all selected leads.</w:t>
            </w:r>
          </w:p>
        </w:tc>
      </w:tr>
      <w:tr>
        <w:tc>
          <w:tcPr>
            <w:tcW w:type="pct" w:w="1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b/>
                <w:bCs/>
                <w:color w:val="1E293B"/>
                <w:sz w:val="19"/>
                <w:szCs w:val="19"/>
              </w:rPr>
              <w:t xml:space="preserve">Decision Maker Finder</w:t>
            </w:r>
          </w:p>
        </w:tc>
        <w:tc>
          <w:tcPr>
            <w:tcW w:type="pct" w:w="17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b w:val="false"/>
                <w:bCs w:val="false"/>
                <w:color w:val="1E293B"/>
                <w:sz w:val="19"/>
                <w:szCs w:val="19"/>
              </w:rPr>
              <w:t xml:space="preserve">Hub Header -&gt; Click "Decision Makers ({count})"</w:t>
            </w:r>
          </w:p>
        </w:tc>
        <w:tc>
          <w:tcPr>
            <w:tcW w:type="pct"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b w:val="false"/>
                <w:bCs w:val="false"/>
                <w:color w:val="1E293B"/>
                <w:sz w:val="19"/>
                <w:szCs w:val="19"/>
              </w:rPr>
              <w:t xml:space="preserve">Dedicated LinkedIn search to discover and sync key managers directly into contacts.</w:t>
            </w:r>
          </w:p>
        </w:tc>
      </w:tr>
    </w:tbl>
    <w:p>
      <w:pPr>
        <w:pStyle w:val="Heading2"/>
        <w:spacing w:after="120" w:before="300"/>
      </w:pPr>
      <w:r>
        <w:rPr>
          <w:b/>
          <w:bCs/>
          <w:color w:val="095C7B"/>
          <w:sz w:val="28"/>
          <w:szCs w:val="28"/>
        </w:rPr>
        <w:t xml:space="preserve">4. What Information Is Captured (5 Specialized Views)</w:t>
      </w:r>
    </w:p>
    <w:p>
      <w:pPr>
        <w:pStyle w:val="Heading3"/>
        <w:spacing w:after="80" w:before="180"/>
      </w:pPr>
      <w:r>
        <w:rPr>
          <w:b/>
          <w:bCs/>
          <w:color w:val="0284C7"/>
          <w:sz w:val="24"/>
          <w:szCs w:val="24"/>
        </w:rPr>
        <w:t xml:space="preserve">View 1: Synthesized Overview (Dual-Source Snapshot)</w:t>
      </w:r>
    </w:p>
    <w:p>
      <w:r>
        <w:t xml:space="preserve">• Top Decision Maker Callout: Displays the most relevant logistics contact, job title, and 1-click "Add to Contacts" button.
• Dual-Source Grid: Side-by-side audit comparing website scrape data vs. live Agent Reach web signals.
• Suggested Opener: Tailored cold-call opening line referencing their actual warehouse location, cutoff window, or carrier.
• Sales Talking Points: 3-4 commercial angles tailored for MailPlus express satchels and driver afternoon collections.
• Social Proof Matching: Identifies similar signed MailPlus clients in the same industry category and suburb.</w:t>
      </w:r>
    </w:p>
    <w:p>
      <w:pPr>
        <w:pStyle w:val="Heading3"/>
        <w:spacing w:after="80" w:before="180"/>
      </w:pPr>
      <w:r>
        <w:rPr>
          <w:b/>
          <w:bCs/>
          <w:color w:val="0284C7"/>
          <w:sz w:val="24"/>
          <w:szCs w:val="24"/>
        </w:rPr>
        <w:t xml:space="preserve">View 2: Agent Reach Signals (Live Logistics &amp; Courier Evidence)</w:t>
      </w:r>
    </w:p>
    <w:p>
      <w:r>
        <w:t xml:space="preserve">• Detected Parcel Carriers: E.g., Australia Post, StarTrack, Sendle, Aramex, Toll, TNT/FedEx, DHL.
• Daily Dispatch Cutoff: Explicit same-day dispatch cutoff times (e.g. 2:00 PM).
• AI Shipping Policy &amp; Carrier Summary: Gemini synthesizes complex return and shipping policies into 4 clear bullets (Dispatch &amp; Warehousing, Carriers &amp; Delivery, Returns &amp; Exchanges, and MailPlus Sales Angle).
• Collapsible Source Drawer: Raw source citations from live search preserved in an expandable drawer for auditability.</w:t>
      </w:r>
    </w:p>
    <w:p>
      <w:pPr>
        <w:pStyle w:val="Heading3"/>
        <w:spacing w:after="80" w:before="180"/>
      </w:pPr>
      <w:r>
        <w:rPr>
          <w:b/>
          <w:bCs/>
          <w:color w:val="0284C7"/>
          <w:sz w:val="24"/>
          <w:szCs w:val="24"/>
        </w:rPr>
        <w:t xml:space="preserve">View 3: AI Website Scrape (Storefront Footprint &amp; Branches)</w:t>
      </w:r>
    </w:p>
    <w:p>
      <w:r>
        <w:t xml:space="preserve">• Classified Industry: Categorized by primary and secondary industry vertical.
• Storefront &amp; Tech Stack: Detects cart platforms (Shopify, WooCommerce, BigCommerce, Magento) and accounting tools (Xero, MYOB) compatible with MailPlus ShipMate.
• Physical Branch Footprint: State-by-state list of physical stores and distribution centers with street address and phone.
• PO Box &amp; Postal Locations: Maps corporate PO Box addresses for MailPlus daily postal run services.</w:t>
      </w:r>
    </w:p>
    <w:p>
      <w:pPr>
        <w:pStyle w:val="Heading3"/>
        <w:spacing w:after="80" w:before="180"/>
      </w:pPr>
      <w:r>
        <w:rPr>
          <w:b/>
          <w:bCs/>
          <w:color w:val="0284C7"/>
          <w:sz w:val="24"/>
          <w:szCs w:val="24"/>
        </w:rPr>
        <w:t xml:space="preserve">View 4: Decision Makers (LinkedIn Index)</w:t>
      </w:r>
    </w:p>
    <w:p>
      <w:r>
        <w:t xml:space="preserve">• Target Operational Roles: Logistics Managers, Warehouse Managers, Operations Directors, and Founders.
• High Match Indicator: Badges highlight prime signatories.
• One-Click Contact Sync: "+ Add to Contacts" button directly creates a verified CRM contact record.</w:t>
      </w:r>
    </w:p>
    <w:p>
      <w:pPr>
        <w:pStyle w:val="Heading3"/>
        <w:spacing w:after="80" w:before="180"/>
      </w:pPr>
      <w:r>
        <w:rPr>
          <w:b/>
          <w:bCs/>
          <w:color w:val="0284C7"/>
          <w:sz w:val="24"/>
          <w:szCs w:val="24"/>
        </w:rPr>
        <w:t xml:space="preserve">View 5: Social &amp; Sentiment (Reputation &amp; Courier Pain Points)</w:t>
      </w:r>
    </w:p>
    <w:p>
      <w:r>
        <w:t xml:space="preserve">• Shipping Sentiment Rating: Positive, Neutral, or Negative.
• Competitor Delay Alerts: Surfaces public customer feedback citing parcel delivery delays or lost boxes with competitor couriers.</w:t>
      </w:r>
    </w:p>
    <w:p>
      <w:pPr>
        <w:pStyle w:val="Heading2"/>
        <w:spacing w:after="120" w:before="300"/>
      </w:pPr>
      <w:r>
        <w:rPr>
          <w:b/>
          <w:bCs/>
          <w:color w:val="095C7B"/>
          <w:sz w:val="28"/>
          <w:szCs w:val="28"/>
        </w:rPr>
        <w:t xml:space="preserve">5. Sales Rep Best Practice Routine (30-Second Pre-Call)</w:t>
      </w:r>
    </w:p>
    <w:p>
      <w:r>
        <w:t xml:space="preserve">1. Open Discovery Tab: Review the Lead Intelligence &amp; Reach Hub.
2. Note Detected Carriers &amp; Cutoff: Identify existing courier contracts and turnaround windows.
3. Identify Decision Maker: Confirm the contact name and click "+ Add to Contacts" if not yet saved.
4. Read AI Shipping Summary: Note warehouse locations and return policies.
5. Deliver Tailored Call Opener: Confident, specific conversation starter referencing their actual logistics setup.</w:t>
      </w:r>
    </w:p>
    <w:p>
      <w:pPr>
        <w:pStyle w:val="Heading2"/>
        <w:spacing w:after="120" w:before="300"/>
      </w:pPr>
      <w:r>
        <w:rPr>
          <w:b/>
          <w:bCs/>
          <w:color w:val="095C7B"/>
          <w:sz w:val="28"/>
          <w:szCs w:val="28"/>
        </w:rPr>
        <w:t xml:space="preserve">6. Security &amp; Infrastructure</w:t>
      </w:r>
    </w:p>
    <w:p>
      <w:r>
        <w:t xml:space="preserve">• Model Architecture: Powered by Google Gemini Flash on Genkit for rapid, cost-effective inference.
• Live Search: Neural web search via Exa API.
• Caching: All intelligence dossiers are persisted in Firestore to avoid redundant API consumption on repeat visits.
• Secret Management: API keys are securely managed via Google Cloud Secret Manager on Firebase App Hosting.</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64748B"/>
        <w:sz w:val="16"/>
        <w:szCs w:val="16"/>
      </w:rPr>
      <w:t xml:space="preserve">Confidential - For Internal Sales Leadership Use Only</w:t>
    </w:r>
    <w:r>
      <w:rPr>
        <w:color w:val="64748B"/>
        <w:sz w:val="16"/>
        <w:szCs w:val="16"/>
      </w:rPr>
      <w:t xml:space="preserve">    Page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6"/>
        <w:szCs w:val="16"/>
      </w:rPr>
      <w:t xml:space="preserve">MailPlus Outbound Leads CRM  |  Lead Intelligence &amp; Enrichment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pPr>
        <w:spacing w:after="100" w:before="100"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2026-10-13T22:23:11.415Z</dcterms:created>
  <dcterms:modified xsi:type="dcterms:W3CDTF">2026-10-13T22:23:11.416Z</dcterms:modified>
</cp:coreProperties>
</file>

<file path=docProps/custom.xml><?xml version="1.0" encoding="utf-8"?>
<Properties xmlns="http://schemas.openxmlformats.org/officeDocument/2006/custom-properties" xmlns:vt="http://schemas.openxmlformats.org/officeDocument/2006/docPropsVTypes"/>
</file>