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95C7B"/>
          <w:sz w:val="32"/>
          <w:szCs w:val="32"/>
        </w:rPr>
        <w:t xml:space="preserve">MAILPLUS AUSTRALIA</w:t>
      </w:r>
    </w:p>
    <w:p>
      <w:pPr>
        <w:spacing w:after="150" w:before="0"/>
        <w:jc w:val="center"/>
      </w:pPr>
      <w:r>
        <w:rPr>
          <w:rFonts w:ascii="Calibri" w:cs="Calibri" w:eastAsia="Calibri" w:hAnsi="Calibri"/>
          <w:b/>
          <w:bCs/>
          <w:color w:val="063B4F"/>
          <w:sz w:val="28"/>
          <w:szCs w:val="28"/>
        </w:rPr>
        <w:t xml:space="preserve">Franchisee Presales &amp; Incoming Franchisee Onboarding Process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End-to-End Operational, Commercial, and Legal Governance Workflow Document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Document Version: 1.0 (2026 Process Standard)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Target Audience: Leadership, Ops, Legal, Sales</w:t>
            </w:r>
          </w:p>
        </w:tc>
      </w:tr>
      <w:tr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Key Stakeholders: Greg Hart, Michael McDaid, Anna Trist (Legal), Matt, Popie, Aleyna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System: ProspectPlus / NetSuite CRM Integration</w:t>
            </w:r>
          </w:p>
        </w:tc>
      </w:tr>
    </w:tbl>
    <w:p>
      <w:pPr>
        <w:spacing w:after="150" w:before="300"/>
      </w:pPr>
    </w:p>
    <w:p>
      <w:pPr>
        <w:pStyle w:val="Heading1"/>
        <w:spacing w:after="120" w:before="250"/>
      </w:pPr>
      <w:r>
        <w:rPr>
          <w:b/>
          <w:bCs/>
          <w:color w:val="095C7B"/>
          <w:sz w:val="24"/>
          <w:szCs w:val="24"/>
        </w:rPr>
        <w:t xml:space="preserve">1. Executive Overview</w:t>
      </w:r>
    </w:p>
    <w:p>
      <w:r>
        <w:t xml:space="preserve">The MailPlus franchise transaction model consists of two interconnected, complementary workflows: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Part A: Franchisee Presales (Sell-Side) — </w:t>
      </w:r>
      <w:r>
        <w:t xml:space="preserve">Managing existing franchisees listing their operational territory for sale, executing Deeds of Variation, structuring commercial/financial terms, and publishing an accredited Information Memorandum (IM).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Part B: Incoming Franchise Prospects (Buy-Side) — </w:t>
      </w:r>
      <w:r>
        <w:t xml:space="preserve">Guiding prospective candidates through strict confidentiality protection, territory discovery, Expression of Interest (EOI), deposit verification, NAB accreditation finance, legal documentation, 14-day statutory disclosure compliance, contract execution, and role-sequenced operational training.</w:t>
      </w:r>
    </w:p>
    <w:p>
      <w:pPr>
        <w:spacing w:after="100" w:before="200"/>
      </w:pPr>
    </w:p>
    <w:p>
      <w:pPr>
        <w:pStyle w:val="Heading1"/>
        <w:spacing w:after="120" w:before="250"/>
      </w:pPr>
      <w:r>
        <w:rPr>
          <w:b/>
          <w:bCs/>
          <w:color w:val="095C7B"/>
          <w:sz w:val="24"/>
          <w:szCs w:val="24"/>
        </w:rPr>
        <w:t xml:space="preserve">2. Part A: Franchisee Presales Lifecycle (Sell-Side)</w:t>
      </w:r>
    </w:p>
    <w:p>
      <w:r>
        <w:t xml:space="preserve">When an existing franchisee wishes to sell their territory or when MailPlus prepares a territory for resale, the presale is managed through a 4-Stage Governance Wizard in ProspectPlus: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513"/>
        <w:gridCol w:w="2257"/>
      </w:tblGrid>
      <w:tr>
        <w:trPr>
          <w:tblHeader/>
        </w:trPr>
        <w:tc>
          <w:tcPr>
            <w:tcW w:type="pct" w:w="125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Presale Stage</w:t>
            </w:r>
          </w:p>
        </w:tc>
        <w:tc>
          <w:tcPr>
            <w:tcW w:type="pct" w:w="250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Activities &amp; Requirements</w:t>
            </w:r>
          </w:p>
        </w:tc>
        <w:tc>
          <w:tcPr>
            <w:tcW w:type="pct" w:w="125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Governance &amp; Sign-Off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1: Main Details &amp; Listing Verification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Captures trading entity, primary contact, mobile, email, ABN, and full territory address.
• Defines Date Listed for Sale and baseline franchise agreement dates (Commencement, Expiry, Ultimate Expiry).
• Determines Unlimited Term Offer eligibility.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Operations Admin verifies legal trading name against ASIC/NetSuite.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2: Deed of Variation Execution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Outgoing franchisee must select one of 3 Deed Options governing the sale parameters and commission structures.
• Dispatched via secure token for online digital signature by the outgoing franchisee and countersigned by Director Chris Burgess (or wet-ink PDF upload).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Legal &amp; Director Sign-Off required before commercial promotion.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3: Verification &amp; Commission Terms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Locks renewal term structures and unlimited term fees.
• Configures commission structures: MailPlus Express (MPEX), Sendle commission, and general sales commission %.
• Assesses NAB Accreditation status and accreditation fees for potential buyer financing.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Finance &amp; Commercial review.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4: Presales Schedule &amp; IM Confirmation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Populates the Information Memorandum (IM) Schedule:
  - Asking Price &amp; Negotiation range (Low/High)
  - 12-Month Service Revenue &amp; Express Revenue
  - Franchise Fee (e.g. 25%) &amp; Marketing Levy (5%)
  - Daily Run Times (Morning shift: 6am–11am, Afternoon shift: 1pm–4pm)
  - Territory Map URL &amp; boundary definition.
• Dispatched to outgoing franchisee to confirm figures before public listing.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Presale listing becomes "Active" and available for prospect linking.</w:t>
            </w:r>
          </w:p>
        </w:tc>
      </w:tr>
    </w:tbl>
    <w:p>
      <w:pPr>
        <w:spacing w:after="120" w:before="250"/>
      </w:pPr>
    </w:p>
    <w:p>
      <w:pPr>
        <w:pStyle w:val="Heading1"/>
        <w:spacing w:after="120" w:before="250"/>
      </w:pPr>
      <w:r>
        <w:rPr>
          <w:b/>
          <w:bCs/>
          <w:color w:val="095C7B"/>
          <w:sz w:val="24"/>
          <w:szCs w:val="24"/>
        </w:rPr>
        <w:t xml:space="preserve">3. Part B: Incoming Franchisee Prospect Pipeline (Buy-Side)</w:t>
      </w:r>
    </w:p>
    <w:p>
      <w:r>
        <w:t xml:space="preserve">When a candidate inquires about purchasing a MailPlus territory, they enter a structured 9-Stage Onboarding &amp; Legal Pipeline. Each stage enforces operational and compliance prerequisites before progressing: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513"/>
        <w:gridCol w:w="2257"/>
      </w:tblGrid>
      <w:tr>
        <w:trPr>
          <w:tblHeader/>
        </w:trPr>
        <w:tc>
          <w:tcPr>
            <w:tcW w:type="pct" w:w="125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# &amp; Name</w:t>
            </w:r>
          </w:p>
        </w:tc>
        <w:tc>
          <w:tcPr>
            <w:tcW w:type="pct" w:w="250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Detailed Process &amp; Workflow Actions</w:t>
            </w:r>
          </w:p>
        </w:tc>
        <w:tc>
          <w:tcPr>
            <w:tcW w:type="pct" w:w="125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&amp; Gatekeeper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1: Confidentiality Deed (NDA &amp; Run-Along)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Non-Disclosure Agreement between Mail Plus Pty Ltd (Greg Hart) and the candidate.
• Must be executed before any commercial territory figures, customer counts, or route run-along trials are provided.
• Dispatched via secure token for instant digital e-signing or wet-ink upload.
• Schedule locks agreement date, ACN/ABN, and evaluation purpose.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Executed NDA in database.
Gatekeeper: Operations / Greg Hart.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2: Information Memorandum (IM / Fact Sheet)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Dispatches the complete Territory Profile &amp; Key Fact Sheet.
• Dynamically synced with the linked Presale Listing (revenue, shifts, run time, fees, territory map).
• Provides Franchising Code Sections A to J (Franchisor history, dispute stats, FY closures/transfers, supply conditions, payment schedules).
• Delivered via branded email to candidate with audit tracking.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Delivered IM &amp; Fact Sheet.
Candidate reviews commercial details.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3: Expression of Interest (EOI Application)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Comprehensive 14-section formal candidate application.
• Captures Entity Structure (Sole Trader, Partnership, Pty Ltd, Trust), Driver’s Licence, Health status, and Employment history.
• Full Financial Statement: Assets (Property, Cash, Shares), Liabilities (Mortgages, Loans), Monthly Income &amp; Living Expenses.
• Commercial questions (motivation, business background, full-time commitment).
• Mandatory NAB Accreditation Funding checkbox flag.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Completed EOI Application.
Status becomes "EOI Signed".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4: 5–10% Franchise Deposit Tracking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Candidate deposits formal commitment funds (typically $2,000 or 5–10% of territory purchase price).
• System logs Payment Date, Payment Method (EFT), Receipt Reference (e.g. "FR DEP SMITH"), and attaches EFT bank receipt proof.
• Formally locks candidate commitment to the territory.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Verified Deposit Receipt.
Status becomes "Deposit Paid".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5: NAB Funding &amp; Legal Dispatch Branching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Conditional Branching Point:
  - If candidate indicated "Requires NAB Accreditation Finance = Yes", pipeline flags approval requirement to Michael McDaid.
  - Michael liaises with NAB Franchise Banking and confirms clearance.
  - Step 6 (Legal Instructions) remains conditionally gated until NAB approval is signed off.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Finance Cleared.
Gatekeeper: Michael McDaid.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6: Request for Docs Legal Instructions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Generates structured legal instructions sheet for external counsel Lawyer Anna Trist.
• Auto-populates: Outgoing Franchisee, Incoming Legal Entity, Guarantors, Incoming/Outgoing Accountants &amp; Lawyers, Territory Name, Map URL, Agreed Fees, Term Years, Commencement Date, and Special Conditions.
• Pre-flight internal review by Matt and operational chasing by Maddie.
• Sent directly to Anna Trist to draft the formal Franchise Agreement &amp; Disclosure packet.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Instructed Legal Pack.
Reviewed by Matt / Maddie.
Status: "Legal Instructions Sent".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7: Disclosure Document &amp; 14-Day Statutory Rule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Franchising Code of Conduct Compliance:
  - Disclosure document, Franchise Agreement in draft, and Key Fact Sheet dispatched.
  - Candidate e-signs formal Disclosure Document Receipt.
  - System initiates immutable 14-Day Statutory Cooling-Off Countdown.
  - Franchise Agreement execution button is strictly hard-locked until Day 15.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Signed Disclosure Receipt.
14-Day Timer Active.
Status: "Disclosure 14-Day Lock".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8: Franchise Agreement Execution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Unlocks automatically after the 14-day statutory period expires.
• Formal execution of Franchise Agreement via R-Sign digital signature or wet-ink scan upload.
• Captures signer IP, timestamp, and audit trail.
• Triggers automated NetSuite sync to establish new franchisee internal ID.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Fully Executed Franchise Agreement.
Status: "FA Executed".</w:t>
            </w:r>
          </w:p>
        </w:tc>
      </w:tr>
      <w:tr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Step 9: Role-Sequenced Operational Training &amp; Handover</w:t>
            </w:r>
          </w:p>
        </w:tc>
        <w:tc>
          <w:tcPr>
            <w:tcW w:type="pct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• Coordinates role-based mandatory training during T-14 days before commercial start:
  1. Sales &amp; Growth Training — Led by Aleyna
  2. Operations &amp; Scanner/App Training — Led by Operational Lead
  3. Daily Billing &amp; Invoicing Systems — Led by Popie
• Syncs scheduled training dates to Greg Hart’s master operational calendar.
• Automated conversion to Active Franchisee user account in ProspectPlus.</w:t>
            </w:r>
          </w:p>
        </w:tc>
        <w:tc>
          <w:tcPr>
            <w:tcW w:type="pct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Certified Franchisee.
Status: "Converted" / "Active".</w:t>
            </w:r>
          </w:p>
        </w:tc>
      </w:tr>
    </w:tbl>
    <w:p>
      <w:pPr>
        <w:spacing w:after="120" w:before="250"/>
      </w:pPr>
    </w:p>
    <w:p>
      <w:pPr>
        <w:pStyle w:val="Heading1"/>
        <w:spacing w:after="120" w:before="250"/>
      </w:pPr>
      <w:r>
        <w:rPr>
          <w:b/>
          <w:bCs/>
          <w:color w:val="095C7B"/>
          <w:sz w:val="24"/>
          <w:szCs w:val="24"/>
        </w:rPr>
        <w:t xml:space="preserve">4. Critical Compliance &amp; Governance Safeguards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Australian Franchising Code of Conduct: </w:t>
      </w:r>
      <w:r>
        <w:t xml:space="preserve">Strict automated enforcement of the 14-day statutory pre-signing disclosure period ensures 100% legal compliance and prevents premature contract execution.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Commercial Confidentiality Guarantee: </w:t>
      </w:r>
      <w:r>
        <w:t xml:space="preserve">Confidential territory financials, route manifests, and customer data are never released without a digitally logged, legally binding Deed of Confidentiality.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Banking &amp; Financing Safety (NAB): </w:t>
      </w:r>
      <w:r>
        <w:t xml:space="preserve">Legal document generation fees and formal instructions to Anna Trist are withheld if candidate requires third-party NAB finance, until Michael McDaid confirms banking pre-approval.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Dual-Sided Data Integrity: </w:t>
      </w:r>
      <w:r>
        <w:t xml:space="preserve">Presale details agreed with outgoing franchisees in Part A automatically flow into Part B candidate IMs and Lawyer Anna Trist’s Request for Docs, eliminating manual transcription errors.</w:t>
      </w:r>
    </w:p>
    <w:p>
      <w:pPr>
        <w:spacing w:after="150" w:before="300"/>
      </w:pPr>
    </w:p>
    <w:p>
      <w:pPr>
        <w:pStyle w:val="Heading1"/>
        <w:spacing w:after="120" w:before="250"/>
      </w:pPr>
      <w:r>
        <w:rPr>
          <w:b/>
          <w:bCs/>
          <w:color w:val="095C7B"/>
          <w:sz w:val="24"/>
          <w:szCs w:val="24"/>
        </w:rPr>
        <w:t xml:space="preserve">5. Stakeholder Review &amp; Sign-Off Confirmation</w:t>
      </w:r>
    </w:p>
    <w:p>
      <w:r>
        <w:t xml:space="preserve">Please review the workflow mapped above and indicate confirmation or requested modifications: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rPr>
          <w:tblHeader/>
        </w:trPr>
        <w:tc>
          <w:tcPr>
            <w:tcW w:type="pct" w:w="150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&amp; Stakeholder</w:t>
            </w:r>
          </w:p>
        </w:tc>
        <w:tc>
          <w:tcPr>
            <w:tcW w:type="pct" w:w="200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 Focus Area</w:t>
            </w:r>
          </w:p>
        </w:tc>
        <w:tc>
          <w:tcPr>
            <w:tcW w:type="pct" w:w="1500"/>
            <w:shd w:fill="095C7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/ Signature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Head of Franchising
(Greg Hart)</w:t>
            </w:r>
          </w:p>
        </w:tc>
        <w:tc>
          <w:tcPr>
            <w:tcW w:type="pct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Confidentiality Deeds, Territory Profiles, Master Schedule alignment.</w:t>
            </w:r>
          </w:p>
        </w:tc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  ] Approved   [  ] Changes Requested
Signature: ____________________
Date: ___/___/2026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Finance &amp; Commercial
(Michael McDaid)</w:t>
            </w:r>
          </w:p>
        </w:tc>
        <w:tc>
          <w:tcPr>
            <w:tcW w:type="pct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Deed of Variation terms, Deposit verification, NAB Funding clearance.</w:t>
            </w:r>
          </w:p>
        </w:tc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  ] Approved   [  ] Changes Requested
Signature: ____________________
Date: ___/___/2026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Legal Counsel
(Anna Trist)</w:t>
            </w:r>
          </w:p>
        </w:tc>
        <w:tc>
          <w:tcPr>
            <w:tcW w:type="pct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Request for Docs data structure, Disclosure 14-day lock, FA execution.</w:t>
            </w:r>
          </w:p>
        </w:tc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  ] Approved   [  ] Changes Requested
Signature: ____________________
Date: ___/___/2026</w:t>
            </w:r>
          </w:p>
        </w:tc>
      </w:tr>
      <w:tr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Operations &amp; Training
(Matt, Popie, Aleyna)</w:t>
            </w:r>
          </w:p>
        </w:tc>
        <w:tc>
          <w:tcPr>
            <w:tcW w:type="pct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Sales, App, and Billing training sequence, Onboarding handover.</w:t>
            </w:r>
          </w:p>
        </w:tc>
        <w:tc>
          <w:tcPr>
            <w:tcW w:type="pct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4F7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[  ] Approved   [  ] Changes Requested
Signature: ____________________
Date: ___/___/2026</w:t>
            </w:r>
          </w:p>
        </w:tc>
      </w:tr>
    </w:tbl>
    <w:p>
      <w:pPr>
        <w:spacing w:after="100" w:before="300"/>
      </w:pPr>
    </w:p>
    <w:p>
      <w:pPr>
        <w:jc w:val="center"/>
      </w:pPr>
      <w:r>
        <w:rPr>
          <w:i/>
          <w:iCs/>
          <w:color w:val="4B5563"/>
          <w:sz w:val="18"/>
          <w:szCs w:val="18"/>
        </w:rPr>
        <w:t xml:space="preserve">— End of Document — Generated by MailPlus Operations CRM Platform (2026)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00" w:before="100" w:line="28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2026-09-30T23:30:54.710Z</dcterms:created>
  <dcterms:modified xsi:type="dcterms:W3CDTF">2026-09-30T23:30:54.711Z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