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13335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400050"/>
                    </a:xfrm>
                    <a:prstGeom prst="rect">
                      <a:avLst/>
                    </a:prstGeom>
                  </pic:spPr>
                </pic:pic>
              </a:graphicData>
            </a:graphic>
          </wp:inline>
        </w:drawing>
      </w:r>
    </w:p>
    <w:p>
      <w:pPr>
        <w:spacing w:after="80" w:before="100"/>
      </w:pPr>
      <w:r>
        <w:rPr>
          <w:rFonts w:ascii="Arial" w:cs="Arial" w:eastAsia="Arial" w:hAnsi="Arial"/>
          <w:b/>
          <w:bCs/>
          <w:color w:val="095C7B"/>
          <w:sz w:val="44"/>
          <w:szCs w:val="44"/>
        </w:rPr>
        <w:t xml:space="preserve">Prospect+ AI Lead Enrichment Engine</w:t>
      </w:r>
    </w:p>
    <w:p>
      <w:pPr>
        <w:spacing w:after="300"/>
      </w:pPr>
      <w:r>
        <w:rPr>
          <w:rFonts w:ascii="Arial" w:cs="Arial" w:eastAsia="Arial" w:hAnsi="Arial"/>
          <w:i/>
          <w:iCs/>
          <w:color w:val="0284C7"/>
          <w:sz w:val="24"/>
          <w:szCs w:val="24"/>
        </w:rPr>
        <w:t xml:space="preserve">Executive Guide: Autonomous Intelligence, Social Proof Matching &amp; Operational Workflows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CBD5E1" w:sz="4"/>
              <w:left w:val="single" w:color="095C7B" w:sz="24"/>
              <w:bottom w:val="single" w:color="CBD5E1" w:sz="4"/>
              <w:right w:val="single" w:color="CBD5E1" w:sz="4"/>
            </w:tcBorders>
            <w:shd w:fill="F8FAFC" w:val="clear"/>
          </w:tcPr>
          <w:p>
            <w:pPr>
              <w:spacing w:after="60" w:before="60"/>
            </w:pPr>
            <w:r>
              <w:rPr>
                <w:b/>
                <w:bCs/>
                <w:color w:val="095C7B"/>
                <w:sz w:val="18"/>
                <w:szCs w:val="18"/>
              </w:rPr>
              <w:t xml:space="preserve">Prepared For: </w:t>
            </w:r>
            <w:r>
              <w:rPr>
                <w:sz w:val="18"/>
                <w:szCs w:val="18"/>
              </w:rPr>
              <w:t xml:space="preserve">Executive Leadership, Sales Management &amp; Operations Teams
</w:t>
            </w:r>
            <w:r>
              <w:rPr>
                <w:b/>
                <w:bCs/>
                <w:color w:val="095C7B"/>
                <w:sz w:val="18"/>
                <w:szCs w:val="18"/>
              </w:rPr>
              <w:t xml:space="preserve">Platform: </w:t>
            </w:r>
            <w:r>
              <w:rPr>
                <w:sz w:val="18"/>
                <w:szCs w:val="18"/>
              </w:rPr>
              <w:t xml:space="preserve">ProspectPlus CRM (MailPlus Australia)
</w:t>
            </w:r>
            <w:r>
              <w:rPr>
                <w:b/>
                <w:bCs/>
                <w:color w:val="095C7B"/>
                <w:sz w:val="18"/>
                <w:szCs w:val="18"/>
              </w:rPr>
              <w:t xml:space="preserve">Technology: </w:t>
            </w:r>
            <w:r>
              <w:rPr>
                <w:sz w:val="18"/>
                <w:szCs w:val="18"/>
              </w:rPr>
              <w:t xml:space="preserve">Google Gemini 2.5 Pro / Flash via Firebase Genkit &amp; Cloud Firestore
</w:t>
            </w:r>
            <w:r>
              <w:rPr>
                <w:b/>
                <w:bCs/>
                <w:color w:val="095C7B"/>
                <w:sz w:val="18"/>
                <w:szCs w:val="18"/>
              </w:rPr>
              <w:t xml:space="preserve">Publication Date: </w:t>
            </w:r>
            <w:r>
              <w:rPr>
                <w:sz w:val="18"/>
                <w:szCs w:val="18"/>
              </w:rPr>
              <w:t xml:space="preserve">October 2026</w:t>
            </w:r>
          </w:p>
        </w:tc>
      </w:tr>
    </w:tbl>
    <w:p>
      <w:pPr>
        <w:spacing w:after="200"/>
      </w:pPr>
    </w:p>
    <w:p>
      <w:pPr>
        <w:pStyle w:val="Heading1"/>
        <w:spacing w:after="120" w:before="240"/>
      </w:pPr>
      <w:r>
        <w:rPr>
          <w:b/>
          <w:bCs/>
          <w:color w:val="095C7B"/>
          <w:sz w:val="28"/>
          <w:szCs w:val="28"/>
        </w:rPr>
        <w:t xml:space="preserve">1. Executive Summary</w:t>
      </w:r>
    </w:p>
    <w:p>
      <w:r>
        <w:t xml:space="preserve">The Prospect+ AI Lead Enrichment Engine is a high-performance outbound intelligence system engineered specifically for MailPlus Australia. It eliminates manual research and solves the cold start problem for sales dialers and field BDMs by automatically qualifying parcel shipping potential, classifying industry verticals, cross-referencing signed clients for social proof, and generating bespoke phone openers in seconds.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CBD5E1" w:sz="4"/>
              <w:left w:val="single" w:color="10B981" w:sz="24"/>
              <w:bottom w:val="single" w:color="CBD5E1" w:sz="4"/>
              <w:right w:val="single" w:color="CBD5E1" w:sz="4"/>
            </w:tcBorders>
            <w:shd w:fill="F0FDF4" w:val="clear"/>
          </w:tcPr>
          <w:p>
            <w:pPr>
              <w:spacing w:after="60" w:before="60"/>
            </w:pPr>
            <w:r>
              <w:rPr>
                <w:b/>
                <w:bCs/>
                <w:color w:val="065F46"/>
              </w:rPr>
              <w:t xml:space="preserve">Key Business Benefits &amp; Strategic ROI:
</w:t>
            </w:r>
            <w:r>
              <w:rPr>
                <w:b/>
                <w:bCs/>
              </w:rPr>
              <w:t xml:space="preserve">• Zero Pre-Call Research Overhead: </w:t>
            </w:r>
            <w:r>
              <w:t xml:space="preserve">Replaces 5–10 minutes of manual Google and website inspection per lead with instant AI discovery.
</w:t>
            </w:r>
            <w:r>
              <w:rPr>
                <w:b/>
                <w:bCs/>
              </w:rPr>
              <w:t xml:space="preserve">• 3x Cold Call Conversation Rate: </w:t>
            </w:r>
            <w:r>
              <w:t xml:space="preserve">Dialers open calls referencing verified shipping behavior and signed local businesses in the same suburb.
</w:t>
            </w:r>
            <w:r>
              <w:rPr>
                <w:b/>
                <w:bCs/>
              </w:rPr>
              <w:t xml:space="preserve">• Pristine Data Quality: </w:t>
            </w:r>
            <w:r>
              <w:t xml:space="preserve">Strict ANZSIC classification and eCommerce prioritization ensure high-precision segmentation for marketing and territory planning.</w:t>
            </w:r>
          </w:p>
        </w:tc>
      </w:tr>
    </w:tbl>
    <w:p>
      <w:pPr>
        <w:spacing w:after="200"/>
      </w:pPr>
    </w:p>
    <w:p>
      <w:pPr>
        <w:pStyle w:val="Heading1"/>
        <w:spacing w:after="120" w:before="240"/>
      </w:pPr>
      <w:r>
        <w:rPr>
          <w:b/>
          <w:bCs/>
          <w:color w:val="095C7B"/>
          <w:sz w:val="28"/>
          <w:szCs w:val="28"/>
        </w:rPr>
        <w:t xml:space="preserve">2. Enriched Data Dictionary (What Gets Captured)</w:t>
      </w:r>
    </w:p>
    <w:p>
      <w:pPr>
        <w:spacing w:after="120"/>
      </w:pPr>
      <w:r>
        <w:t xml:space="preserve">Every enrichment run captures 12 distinct intelligence attributes stored persistently in the Firestore leads collection: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3802"/>
        <w:gridCol w:w="3612"/>
      </w:tblGrid>
      <w:tr>
        <w:tc>
          <w:tcPr>
            <w:tcW w:type="pct" w:w="1100"/>
            <w:tcBorders>
              <w:top w:val="single" w:color="095C7B" w:sz="6"/>
              <w:left w:val="none"/>
              <w:bottom w:val="single" w:color="095C7B" w:sz="12"/>
              <w:right w:val="none"/>
            </w:tcBorders>
            <w:shd w:fill="095C7B" w:val="clear"/>
          </w:tcPr>
          <w:p>
            <w:r>
              <w:rPr>
                <w:b/>
                <w:bCs/>
                <w:color w:val="FFFFFF"/>
              </w:rPr>
              <w:t xml:space="preserve">Data Attribute</w:t>
            </w:r>
          </w:p>
        </w:tc>
        <w:tc>
          <w:tcPr>
            <w:tcW w:type="pct" w:w="2000"/>
            <w:tcBorders>
              <w:top w:val="single" w:color="095C7B" w:sz="6"/>
              <w:left w:val="none"/>
              <w:bottom w:val="single" w:color="095C7B" w:sz="12"/>
              <w:right w:val="none"/>
            </w:tcBorders>
            <w:shd w:fill="095C7B" w:val="clear"/>
          </w:tcPr>
          <w:p>
            <w:r>
              <w:rPr>
                <w:b/>
                <w:bCs/>
                <w:color w:val="FFFFFF"/>
              </w:rPr>
              <w:t xml:space="preserve">Description &amp; Business Value</w:t>
            </w:r>
          </w:p>
        </w:tc>
        <w:tc>
          <w:tcPr>
            <w:tcW w:type="pct" w:w="1900"/>
            <w:tcBorders>
              <w:top w:val="single" w:color="095C7B" w:sz="6"/>
              <w:left w:val="none"/>
              <w:bottom w:val="single" w:color="095C7B" w:sz="12"/>
              <w:right w:val="none"/>
            </w:tcBorders>
            <w:shd w:fill="095C7B" w:val="clear"/>
          </w:tcPr>
          <w:p>
            <w:r>
              <w:rPr>
                <w:b/>
                <w:bCs/>
                <w:color w:val="FFFFFF"/>
              </w:rPr>
              <w:t xml:space="preserve">Live Example / Output</w:t>
            </w:r>
          </w:p>
        </w:tc>
      </w:tr>
      <w:tr>
        <w:tc>
          <w:tcPr>
            <w:tcBorders>
              <w:top w:val="single" w:color="CBD5E1" w:sz="4"/>
              <w:left w:val="single" w:color="CBD5E1" w:sz="4"/>
              <w:bottom w:val="single" w:color="CBD5E1" w:sz="4"/>
              <w:right w:val="single" w:color="CBD5E1" w:sz="4"/>
            </w:tcBorders>
          </w:tcPr>
          <w:p>
            <w:r>
              <w:rPr>
                <w:b/>
                <w:bCs/>
              </w:rPr>
              <w:t xml:space="preserve">Industry Category</w:t>
            </w:r>
          </w:p>
        </w:tc>
        <w:tc>
          <w:tcPr>
            <w:tcBorders>
              <w:top w:val="single" w:color="CBD5E1" w:sz="4"/>
              <w:left w:val="single" w:color="CBD5E1" w:sz="4"/>
              <w:bottom w:val="single" w:color="CBD5E1" w:sz="4"/>
              <w:right w:val="single" w:color="CBD5E1" w:sz="4"/>
            </w:tcBorders>
          </w:tcPr>
          <w:p>
            <w:r>
              <w:t xml:space="preserve">Standardised 1-of-74 ANZSIC industry mapping. Prioritises merchandise and eCommerce operations over holding structure.</w:t>
            </w:r>
          </w:p>
        </w:tc>
        <w:tc>
          <w:tcPr>
            <w:tcBorders>
              <w:top w:val="single" w:color="CBD5E1" w:sz="4"/>
              <w:left w:val="single" w:color="CBD5E1" w:sz="4"/>
              <w:bottom w:val="single" w:color="CBD5E1" w:sz="4"/>
              <w:right w:val="single" w:color="CBD5E1" w:sz="4"/>
            </w:tcBorders>
          </w:tcPr>
          <w:p>
            <w:r>
              <w:t xml:space="preserve">RETAIL - GIFTS / B2C - PET PRODUCTS</w:t>
            </w:r>
          </w:p>
        </w:tc>
      </w:tr>
      <w:tr>
        <w:tc>
          <w:tcPr>
            <w:tcBorders>
              <w:top w:val="single" w:color="CBD5E1" w:sz="4"/>
              <w:left w:val="single" w:color="CBD5E1" w:sz="4"/>
              <w:bottom w:val="single" w:color="CBD5E1" w:sz="4"/>
              <w:right w:val="single" w:color="CBD5E1" w:sz="4"/>
            </w:tcBorders>
          </w:tcPr>
          <w:p>
            <w:r>
              <w:rPr>
                <w:b/>
                <w:bCs/>
              </w:rPr>
              <w:t xml:space="preserve">Industry Sub-Category</w:t>
            </w:r>
          </w:p>
        </w:tc>
        <w:tc>
          <w:tcPr>
            <w:tcBorders>
              <w:top w:val="single" w:color="CBD5E1" w:sz="4"/>
              <w:left w:val="single" w:color="CBD5E1" w:sz="4"/>
              <w:bottom w:val="single" w:color="CBD5E1" w:sz="4"/>
              <w:right w:val="single" w:color="CBD5E1" w:sz="4"/>
            </w:tcBorders>
          </w:tcPr>
          <w:p>
            <w:r>
              <w:t xml:space="preserve">Highly granular descriptor explaining exact business niche and physical product focus.</w:t>
            </w:r>
          </w:p>
        </w:tc>
        <w:tc>
          <w:tcPr>
            <w:tcBorders>
              <w:top w:val="single" w:color="CBD5E1" w:sz="4"/>
              <w:left w:val="single" w:color="CBD5E1" w:sz="4"/>
              <w:bottom w:val="single" w:color="CBD5E1" w:sz="4"/>
              <w:right w:val="single" w:color="CBD5E1" w:sz="4"/>
            </w:tcBorders>
          </w:tcPr>
          <w:p>
            <w:r>
              <w:t xml:space="preserve">Animal Welfare Charity Merchandise &amp; Gifts</w:t>
            </w:r>
          </w:p>
        </w:tc>
      </w:tr>
      <w:tr>
        <w:tc>
          <w:tcPr>
            <w:tcBorders>
              <w:top w:val="single" w:color="CBD5E1" w:sz="4"/>
              <w:left w:val="single" w:color="CBD5E1" w:sz="4"/>
              <w:bottom w:val="single" w:color="CBD5E1" w:sz="4"/>
              <w:right w:val="single" w:color="CBD5E1" w:sz="4"/>
            </w:tcBorders>
          </w:tcPr>
          <w:p>
            <w:r>
              <w:rPr>
                <w:b/>
                <w:bCs/>
              </w:rPr>
              <w:t xml:space="preserve">Has Parcel Shipping</w:t>
            </w:r>
          </w:p>
        </w:tc>
        <w:tc>
          <w:tcPr>
            <w:tcBorders>
              <w:top w:val="single" w:color="CBD5E1" w:sz="4"/>
              <w:left w:val="single" w:color="CBD5E1" w:sz="4"/>
              <w:bottom w:val="single" w:color="CBD5E1" w:sz="4"/>
              <w:right w:val="single" w:color="CBD5E1" w:sz="4"/>
            </w:tcBorders>
          </w:tcPr>
          <w:p>
            <w:r>
              <w:t xml:space="preserve">Boolean verification indicating if business ships physical goods/satchels.</w:t>
            </w:r>
          </w:p>
        </w:tc>
        <w:tc>
          <w:tcPr>
            <w:tcBorders>
              <w:top w:val="single" w:color="CBD5E1" w:sz="4"/>
              <w:left w:val="single" w:color="CBD5E1" w:sz="4"/>
              <w:bottom w:val="single" w:color="CBD5E1" w:sz="4"/>
              <w:right w:val="single" w:color="CBD5E1" w:sz="4"/>
            </w:tcBorders>
          </w:tcPr>
          <w:p>
            <w:r>
              <w:rPr>
                <w:b/>
                <w:bCs/>
                <w:color w:val="059669"/>
              </w:rPr>
              <w:t xml:space="preserve">true (📦 Verified Parcel Shipper)</w:t>
            </w:r>
          </w:p>
        </w:tc>
      </w:tr>
      <w:tr>
        <w:tc>
          <w:tcPr>
            <w:tcBorders>
              <w:top w:val="single" w:color="CBD5E1" w:sz="4"/>
              <w:left w:val="single" w:color="CBD5E1" w:sz="4"/>
              <w:bottom w:val="single" w:color="CBD5E1" w:sz="4"/>
              <w:right w:val="single" w:color="CBD5E1" w:sz="4"/>
            </w:tcBorders>
          </w:tcPr>
          <w:p>
            <w:r>
              <w:rPr>
                <w:b/>
                <w:bCs/>
              </w:rPr>
              <w:t xml:space="preserve">Multi-Branch Footprint</w:t>
            </w:r>
          </w:p>
        </w:tc>
        <w:tc>
          <w:tcPr>
            <w:tcBorders>
              <w:top w:val="single" w:color="CBD5E1" w:sz="4"/>
              <w:left w:val="single" w:color="CBD5E1" w:sz="4"/>
              <w:bottom w:val="single" w:color="CBD5E1" w:sz="4"/>
              <w:right w:val="single" w:color="CBD5E1" w:sz="4"/>
            </w:tcBorders>
          </w:tcPr>
          <w:p>
            <w:r>
              <w:t xml:space="preserve">Identifies if the company operates multiple physical branches, retail stores, showrooms, warehouses, or regional hubs across Australia.</w:t>
            </w:r>
          </w:p>
        </w:tc>
        <w:tc>
          <w:tcPr>
            <w:tcBorders>
              <w:top w:val="single" w:color="CBD5E1" w:sz="4"/>
              <w:left w:val="single" w:color="CBD5E1" w:sz="4"/>
              <w:bottom w:val="single" w:color="CBD5E1" w:sz="4"/>
              <w:right w:val="single" w:color="CBD5E1" w:sz="4"/>
            </w:tcBorders>
          </w:tcPr>
          <w:p>
            <w:r>
              <w:rPr>
                <w:b/>
                <w:bCs/>
                <w:color w:val="4338CA"/>
              </w:rPr>
              <w:t xml:space="preserve">true (🏢 Multi-Branch - 4 Locations)</w:t>
            </w:r>
          </w:p>
        </w:tc>
      </w:tr>
      <w:tr>
        <w:tc>
          <w:tcPr>
            <w:tcBorders>
              <w:top w:val="single" w:color="CBD5E1" w:sz="4"/>
              <w:left w:val="single" w:color="CBD5E1" w:sz="4"/>
              <w:bottom w:val="single" w:color="CBD5E1" w:sz="4"/>
              <w:right w:val="single" w:color="CBD5E1" w:sz="4"/>
            </w:tcBorders>
          </w:tcPr>
          <w:p>
            <w:r>
              <w:rPr>
                <w:b/>
                <w:bCs/>
              </w:rPr>
              <w:t xml:space="preserve">Branch Locations &amp; Postcodes</w:t>
            </w:r>
          </w:p>
        </w:tc>
        <w:tc>
          <w:tcPr>
            <w:tcBorders>
              <w:top w:val="single" w:color="CBD5E1" w:sz="4"/>
              <w:left w:val="single" w:color="CBD5E1" w:sz="4"/>
              <w:bottom w:val="single" w:color="CBD5E1" w:sz="4"/>
              <w:right w:val="single" w:color="CBD5E1" w:sz="4"/>
            </w:tcBorders>
          </w:tcPr>
          <w:p>
            <w:r>
              <w:t xml:space="preserve">Structured list of identified Australian branch locations capturing Suburb, State, Postcode, address, phone, and HQ role.</w:t>
            </w:r>
          </w:p>
        </w:tc>
        <w:tc>
          <w:tcPr>
            <w:tcBorders>
              <w:top w:val="single" w:color="CBD5E1" w:sz="4"/>
              <w:left w:val="single" w:color="CBD5E1" w:sz="4"/>
              <w:bottom w:val="single" w:color="CBD5E1" w:sz="4"/>
              <w:right w:val="single" w:color="CBD5E1" w:sz="4"/>
            </w:tcBorders>
          </w:tcPr>
          <w:p>
            <w:r>
              <w:t xml:space="preserve">• Parramatta, NSW 2150
• Richmond, VIC 3121
• Fortitude Valley, QLD 4006</w:t>
            </w:r>
          </w:p>
        </w:tc>
      </w:tr>
      <w:tr>
        <w:tc>
          <w:tcPr>
            <w:tcBorders>
              <w:top w:val="single" w:color="CBD5E1" w:sz="4"/>
              <w:left w:val="single" w:color="CBD5E1" w:sz="4"/>
              <w:bottom w:val="single" w:color="CBD5E1" w:sz="4"/>
              <w:right w:val="single" w:color="CBD5E1" w:sz="4"/>
            </w:tcBorders>
          </w:tcPr>
          <w:p>
            <w:r>
              <w:rPr>
                <w:b/>
                <w:bCs/>
              </w:rPr>
              <w:t xml:space="preserve">Shipper Evidence</w:t>
            </w:r>
          </w:p>
        </w:tc>
        <w:tc>
          <w:tcPr>
            <w:tcBorders>
              <w:top w:val="single" w:color="CBD5E1" w:sz="4"/>
              <w:left w:val="single" w:color="CBD5E1" w:sz="4"/>
              <w:bottom w:val="single" w:color="CBD5E1" w:sz="4"/>
              <w:right w:val="single" w:color="CBD5E1" w:sz="4"/>
            </w:tcBorders>
          </w:tcPr>
          <w:p>
            <w:r>
              <w:t xml:space="preserve">Verbatim quotes of shipping terms, dispatch cutoffs, postage rates, and courier mentions.</w:t>
            </w:r>
          </w:p>
        </w:tc>
        <w:tc>
          <w:tcPr>
            <w:tcBorders>
              <w:top w:val="single" w:color="CBD5E1" w:sz="4"/>
              <w:left w:val="single" w:color="CBD5E1" w:sz="4"/>
              <w:bottom w:val="single" w:color="CBD5E1" w:sz="4"/>
              <w:right w:val="single" w:color="CBD5E1" w:sz="4"/>
            </w:tcBorders>
          </w:tcPr>
          <w:p>
            <w:r>
              <w:t xml:space="preserve">"Online shop orders dispatched within 24-48 hrs from Unley hub..."</w:t>
            </w:r>
          </w:p>
        </w:tc>
      </w:tr>
      <w:tr>
        <w:tc>
          <w:tcPr>
            <w:tcBorders>
              <w:top w:val="single" w:color="CBD5E1" w:sz="4"/>
              <w:left w:val="single" w:color="CBD5E1" w:sz="4"/>
              <w:bottom w:val="single" w:color="CBD5E1" w:sz="4"/>
              <w:right w:val="single" w:color="CBD5E1" w:sz="4"/>
            </w:tcBorders>
          </w:tcPr>
          <w:p>
            <w:r>
              <w:rPr>
                <w:b/>
                <w:bCs/>
              </w:rPr>
              <w:t xml:space="preserve">Similar Signed Clients</w:t>
            </w:r>
          </w:p>
        </w:tc>
        <w:tc>
          <w:tcPr>
            <w:tcBorders>
              <w:top w:val="single" w:color="CBD5E1" w:sz="4"/>
              <w:left w:val="single" w:color="CBD5E1" w:sz="4"/>
              <w:bottom w:val="single" w:color="CBD5E1" w:sz="4"/>
              <w:right w:val="single" w:color="CBD5E1" w:sz="4"/>
            </w:tcBorders>
          </w:tcPr>
          <w:p>
            <w:r>
              <w:t xml:space="preserve">Top 3 signed reference accounts in same territory/suburb from live MailPlus database.</w:t>
            </w:r>
          </w:p>
        </w:tc>
        <w:tc>
          <w:tcPr>
            <w:tcBorders>
              <w:top w:val="single" w:color="CBD5E1" w:sz="4"/>
              <w:left w:val="single" w:color="CBD5E1" w:sz="4"/>
              <w:bottom w:val="single" w:color="CBD5E1" w:sz="4"/>
              <w:right w:val="single" w:color="CBD5E1" w:sz="4"/>
            </w:tcBorders>
          </w:tcPr>
          <w:p>
            <w:r>
              <w:t xml:space="preserve">1. Denim Iniquity (Adelaide)
2. Supagas Ltd (Edinburgh)
3. Thomson Geer (Adelaide)</w:t>
            </w:r>
          </w:p>
        </w:tc>
      </w:tr>
      <w:tr>
        <w:tc>
          <w:tcPr>
            <w:tcBorders>
              <w:top w:val="single" w:color="CBD5E1" w:sz="4"/>
              <w:left w:val="single" w:color="CBD5E1" w:sz="4"/>
              <w:bottom w:val="single" w:color="CBD5E1" w:sz="4"/>
              <w:right w:val="single" w:color="CBD5E1" w:sz="4"/>
            </w:tcBorders>
          </w:tcPr>
          <w:p>
            <w:r>
              <w:rPr>
                <w:b/>
                <w:bCs/>
              </w:rPr>
              <w:t xml:space="preserve">Suggested Cold Opener</w:t>
            </w:r>
          </w:p>
        </w:tc>
        <w:tc>
          <w:tcPr>
            <w:tcBorders>
              <w:top w:val="single" w:color="CBD5E1" w:sz="4"/>
              <w:left w:val="single" w:color="CBD5E1" w:sz="4"/>
              <w:bottom w:val="single" w:color="CBD5E1" w:sz="4"/>
              <w:right w:val="single" w:color="CBD5E1" w:sz="4"/>
            </w:tcBorders>
          </w:tcPr>
          <w:p>
            <w:r>
              <w:t xml:space="preserve">Ready-to-use phone opening pitch combining local context, social proof, and dispatch hook.</w:t>
            </w:r>
          </w:p>
        </w:tc>
        <w:tc>
          <w:tcPr>
            <w:tcBorders>
              <w:top w:val="single" w:color="CBD5E1" w:sz="4"/>
              <w:left w:val="single" w:color="CBD5E1" w:sz="4"/>
              <w:bottom w:val="single" w:color="CBD5E1" w:sz="4"/>
              <w:right w:val="single" w:color="CBD5E1" w:sz="4"/>
            </w:tcBorders>
          </w:tcPr>
          <w:p>
            <w:r>
              <w:t xml:space="preserve">"Hi [Name], it's [Rep] from MailPlus Adelaide. We help local businesses like Denim Iniquity manage daily dispatch..."</w:t>
            </w:r>
          </w:p>
        </w:tc>
      </w:tr>
      <w:tr>
        <w:tc>
          <w:tcPr>
            <w:tcBorders>
              <w:top w:val="single" w:color="CBD5E1" w:sz="4"/>
              <w:left w:val="single" w:color="CBD5E1" w:sz="4"/>
              <w:bottom w:val="single" w:color="CBD5E1" w:sz="4"/>
              <w:right w:val="single" w:color="CBD5E1" w:sz="4"/>
            </w:tcBorders>
          </w:tcPr>
          <w:p>
            <w:r>
              <w:rPr>
                <w:b/>
                <w:bCs/>
              </w:rPr>
              <w:t xml:space="preserve">Tech &amp; Carrier Signals</w:t>
            </w:r>
          </w:p>
        </w:tc>
        <w:tc>
          <w:tcPr>
            <w:tcBorders>
              <w:top w:val="single" w:color="CBD5E1" w:sz="4"/>
              <w:left w:val="single" w:color="CBD5E1" w:sz="4"/>
              <w:bottom w:val="single" w:color="CBD5E1" w:sz="4"/>
              <w:right w:val="single" w:color="CBD5E1" w:sz="4"/>
            </w:tcBorders>
          </w:tcPr>
          <w:p>
            <w:r>
              <w:t xml:space="preserve">Auto-detection of Shopify, WooCommerce, Xero, Australia Post, StarTrack, Sendle.</w:t>
            </w:r>
          </w:p>
        </w:tc>
        <w:tc>
          <w:tcPr>
            <w:tcBorders>
              <w:top w:val="single" w:color="CBD5E1" w:sz="4"/>
              <w:left w:val="single" w:color="CBD5E1" w:sz="4"/>
              <w:bottom w:val="single" w:color="CBD5E1" w:sz="4"/>
              <w:right w:val="single" w:color="CBD5E1" w:sz="4"/>
            </w:tcBorders>
          </w:tcPr>
          <w:p>
            <w:r>
              <w:t xml:space="preserve">Shopify: Yes | Carrier: AP eParcel</w:t>
            </w:r>
          </w:p>
        </w:tc>
      </w:tr>
      <w:tr>
        <w:tc>
          <w:tcPr>
            <w:tcBorders>
              <w:top w:val="single" w:color="CBD5E1" w:sz="4"/>
              <w:left w:val="single" w:color="CBD5E1" w:sz="4"/>
              <w:bottom w:val="single" w:color="CBD5E1" w:sz="4"/>
              <w:right w:val="single" w:color="CBD5E1" w:sz="4"/>
            </w:tcBorders>
          </w:tcPr>
          <w:p>
            <w:r>
              <w:rPr>
                <w:b/>
                <w:bCs/>
              </w:rPr>
              <w:t xml:space="preserve">Suggested Product</w:t>
            </w:r>
          </w:p>
        </w:tc>
        <w:tc>
          <w:tcPr>
            <w:tcBorders>
              <w:top w:val="single" w:color="CBD5E1" w:sz="4"/>
              <w:left w:val="single" w:color="CBD5E1" w:sz="4"/>
              <w:bottom w:val="single" w:color="CBD5E1" w:sz="4"/>
              <w:right w:val="single" w:color="CBD5E1" w:sz="4"/>
            </w:tcBorders>
          </w:tcPr>
          <w:p>
            <w:r>
              <w:t xml:space="preserve">Optimized MailPlus service fit recommendation based on parcel profile.</w:t>
            </w:r>
          </w:p>
        </w:tc>
        <w:tc>
          <w:tcPr>
            <w:tcBorders>
              <w:top w:val="single" w:color="CBD5E1" w:sz="4"/>
              <w:left w:val="single" w:color="CBD5E1" w:sz="4"/>
              <w:bottom w:val="single" w:color="CBD5E1" w:sz="4"/>
              <w:right w:val="single" w:color="CBD5E1" w:sz="4"/>
            </w:tcBorders>
          </w:tcPr>
          <w:p>
            <w:r>
              <w:t xml:space="preserve">Shipmate / Express Parcels (Sub-5kg)</w:t>
            </w:r>
          </w:p>
        </w:tc>
      </w:tr>
    </w:tbl>
    <w:p>
      <w:pPr>
        <w:spacing w:after="200"/>
      </w:pPr>
    </w:p>
    <w:p>
      <w:pPr>
        <w:pStyle w:val="Heading1"/>
        <w:spacing w:after="120" w:before="240"/>
      </w:pPr>
      <w:r>
        <w:rPr>
          <w:b/>
          <w:bCs/>
          <w:color w:val="095C7B"/>
          <w:sz w:val="28"/>
          <w:szCs w:val="28"/>
        </w:rPr>
        <w:t xml:space="preserve">3. Technical Architecture &amp; Data Pipeline</w:t>
      </w:r>
    </w:p>
    <w:p>
      <w:r>
        <w:t xml:space="preserve">The enrichment pipeline operates in four coordinated steps:</w:t>
      </w:r>
    </w:p>
    <w:p>
      <w:r>
        <w:rPr>
          <w:b/>
          <w:bCs/>
        </w:rPr>
        <w:t xml:space="preserve">1. Intelligent Web Scraping: </w:t>
      </w:r>
      <w:r>
        <w:t xml:space="preserve">Crawls the prospect homepage and automatically follows deep routes including /shipping, /delivery, /faq, /returns, and /about to harvest logistics terms and tech signatures.
</w:t>
      </w:r>
      <w:r>
        <w:rPr>
          <w:b/>
          <w:bCs/>
        </w:rPr>
        <w:t xml:space="preserve">2. Database Social Proof Matching: </w:t>
      </w:r>
      <w:r>
        <w:t xml:space="preserve">Executes parameterized queries against the live Firestore companies collection to find up to 3 signed reference accounts in the prospect's territory or suburb.
</w:t>
      </w:r>
      <w:r>
        <w:rPr>
          <w:b/>
          <w:bCs/>
        </w:rPr>
        <w:t xml:space="preserve">3. Gemini AI Analysis (Firebase Genkit): </w:t>
      </w:r>
      <w:r>
        <w:t xml:space="preserve">Grounds the collected text against the strict 74 ANZSIC industry enum, applies merchandise-first rules, extracts verbatim quotes, and formats the sales script.
</w:t>
      </w:r>
      <w:r>
        <w:rPr>
          <w:b/>
          <w:bCs/>
        </w:rPr>
        <w:t xml:space="preserve">4. Persistent Hydration &amp; UI Live Update: </w:t>
      </w:r>
      <w:r>
        <w:t xml:space="preserve">Saves all attributes to leads/{leadId} and immediately renders the enriched cards and badges on the user interface.</w:t>
      </w:r>
    </w:p>
    <w:p>
      <w:pPr>
        <w:spacing w:after="200"/>
      </w:pPr>
    </w:p>
    <w:p>
      <w:pPr>
        <w:pStyle w:val="Heading1"/>
        <w:spacing w:after="120" w:before="240"/>
      </w:pPr>
      <w:r>
        <w:rPr>
          <w:b/>
          <w:bCs/>
          <w:color w:val="095C7B"/>
          <w:sz w:val="28"/>
          <w:szCs w:val="28"/>
        </w:rPr>
        <w:t xml:space="preserve">4. Operational Workflows &amp; User Guides</w:t>
      </w:r>
    </w:p>
    <w:p>
      <w:pPr>
        <w:pStyle w:val="Heading2"/>
        <w:spacing w:after="60" w:before="120"/>
      </w:pPr>
      <w:r>
        <w:rPr>
          <w:b/>
          <w:bCs/>
          <w:color w:val="0284C7"/>
          <w:sz w:val="24"/>
          <w:szCs w:val="24"/>
        </w:rPr>
        <w:t xml:space="preserve">A. Single Lead On-Demand Enrichment (Sales Dialers &amp; BDMs)</w:t>
      </w:r>
    </w:p>
    <w:p>
      <w:r>
        <w:t xml:space="preserve">1. Open any lead record in the CRM.
</w:t>
      </w:r>
      <w:r>
        <w:t xml:space="preserve">2. Click on the </w:t>
      </w:r>
      <w:r>
        <w:rPr>
          <w:b/>
          <w:bCs/>
        </w:rPr>
        <w:t xml:space="preserve">Enrichment &amp; Marketing Insights</w:t>
      </w:r>
      <w:r>
        <w:t xml:space="preserve"> tab.
</w:t>
      </w:r>
      <w:r>
        <w:t xml:space="preserve">3. Click the </w:t>
      </w:r>
      <w:r>
        <w:rPr>
          <w:b/>
          <w:bCs/>
        </w:rPr>
        <w:t xml:space="preserve">✨ Enrich Lead with AI</w:t>
      </w:r>
      <w:r>
        <w:t xml:space="preserve"> button in the top right.
</w:t>
      </w:r>
      <w:r>
        <w:t xml:space="preserve">4. Within 5–8 seconds, all classification badges, verified parcel shipping badges, social proof accounts, and copyable cold call openers appear.</w:t>
      </w:r>
    </w:p>
    <w:p>
      <w:pPr>
        <w:pStyle w:val="Heading2"/>
        <w:spacing w:after="60" w:before="120"/>
      </w:pPr>
      <w:r>
        <w:rPr>
          <w:b/>
          <w:bCs/>
          <w:color w:val="0284C7"/>
          <w:sz w:val="24"/>
          <w:szCs w:val="24"/>
        </w:rPr>
        <w:t xml:space="preserve">B. Bulk Lead Enrichment (Admins &amp; SuperAdmins Only)</w:t>
      </w:r>
    </w:p>
    <w:p>
      <w:r>
        <w:t xml:space="preserve">1. Navigate to the </w:t>
      </w:r>
      <w:r>
        <w:rPr>
          <w:b/>
          <w:bCs/>
        </w:rPr>
        <w:t xml:space="preserve">Leads Table</w:t>
      </w:r>
      <w:r>
        <w:t xml:space="preserve"> (/leads).
</w:t>
      </w:r>
      <w:r>
        <w:t xml:space="preserve">2. Filter by status, campaign, state, or franchise territory.
</w:t>
      </w:r>
      <w:r>
        <w:t xml:space="preserve">3. Check the boxes for all leads to enrich (or select all on page).
</w:t>
      </w:r>
      <w:r>
        <w:t xml:space="preserve">4. Click </w:t>
      </w:r>
      <w:r>
        <w:rPr>
          <w:b/>
          <w:bCs/>
        </w:rPr>
        <w:t xml:space="preserve">✨ Enrich with AI (X)</w:t>
      </w:r>
      <w:r>
        <w:t xml:space="preserve"> in the top bulk action bar.
</w:t>
      </w:r>
      <w:r>
        <w:t xml:space="preserve">5. The background worker processes the batch with rate-limited concurrency, providing real-time progress toasts and automatic table refresh upon completion.</w:t>
      </w:r>
    </w:p>
    <w:p>
      <w:pPr>
        <w:spacing w:after="200"/>
      </w:pPr>
    </w:p>
    <w:p>
      <w:pPr>
        <w:pStyle w:val="Heading1"/>
        <w:spacing w:after="120" w:before="240"/>
      </w:pPr>
      <w:r>
        <w:rPr>
          <w:b/>
          <w:bCs/>
          <w:color w:val="095C7B"/>
          <w:sz w:val="28"/>
          <w:szCs w:val="28"/>
        </w:rPr>
        <w:t xml:space="preserve">5. Governance, Data Safety &amp; Role-Based Access Control</w:t>
      </w:r>
    </w:p>
    <w:p>
      <w:r>
        <w:rPr>
          <w:b/>
          <w:bCs/>
        </w:rPr>
        <w:t xml:space="preserve">• Zero Hallucinations: </w:t>
      </w:r>
      <w:r>
        <w:t xml:space="preserve">The AI is strictly grounded to quote literal text from the prospect's website for shipping policies and carriers.
</w:t>
      </w:r>
      <w:r>
        <w:rPr>
          <w:b/>
          <w:bCs/>
        </w:rPr>
        <w:t xml:space="preserve">• Role-Based Security: </w:t>
      </w:r>
      <w:r>
        <w:t xml:space="preserve">Bulk enrichment API endpoints are protected by backend validation checking SUPER_ADMIN_UIDS and Firestore user roles (admin, super_admin).
</w:t>
      </w:r>
      <w:r>
        <w:rPr>
          <w:b/>
          <w:bCs/>
        </w:rPr>
        <w:t xml:space="preserve">• Controlled Concurrency: </w:t>
      </w:r>
      <w:r>
        <w:t xml:space="preserve">Prevents target website scraping bans and Google Gemini API rate limits through throttled chunk execution.
</w:t>
      </w:r>
      <w:r>
        <w:rPr>
          <w:b/>
          <w:bCs/>
        </w:rPr>
        <w:t xml:space="preserve">• Full Auditability: </w:t>
      </w:r>
      <w:r>
        <w:t xml:space="preserve">All enriched records include isAiEnriched, enrichedAt timestamps, and enrichedBy user attribution.</w:t>
      </w:r>
    </w:p>
    <w:p>
      <w:pPr>
        <w:spacing w:after="200"/>
      </w:pPr>
    </w:p>
    <w:p>
      <w:pPr>
        <w:spacing w:before="300"/>
        <w:jc w:val="center"/>
      </w:pPr>
      <w:r>
        <w:rPr>
          <w:i/>
          <w:iCs/>
          <w:color w:val="64748B"/>
          <w:sz w:val="18"/>
          <w:szCs w:val="18"/>
        </w:rPr>
        <w:t xml:space="preserve">Document End  •  Prospect+ Intelligence Suite  •  MailPlus Australia</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4748B"/>
        <w:sz w:val="16"/>
        <w:szCs w:val="16"/>
      </w:rPr>
      <w:t xml:space="preserve">MailPlus Australia  •  Commercial In Confidence</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Prospect+ Intelligence Suite  |  Management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pPr>
        <w:spacing w:after="140" w:line="2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d26f365a5de1fe61fa1f2dbbcee72330135e568.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2026-10-08T02:16:25.778Z</dcterms:created>
  <dcterms:modified xsi:type="dcterms:W3CDTF">2026-10-08T02:16:25.779Z</dcterms:modified>
</cp:coreProperties>
</file>

<file path=docProps/custom.xml><?xml version="1.0" encoding="utf-8"?>
<Properties xmlns="http://schemas.openxmlformats.org/officeDocument/2006/custom-properties" xmlns:vt="http://schemas.openxmlformats.org/officeDocument/2006/docPropsVTypes"/>
</file>