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0d33443c6a664016" Type="http://schemas.openxmlformats.org/officeDocument/2006/relationships/officeDocument" Target="word/document.xml"/><Relationship Id="Rf7ebd2d5e5574754" Type="http://schemas.openxmlformats.org/package/2006/relationships/metadata/core-properties" Target="docProps/core.xml"/><Relationship Id="Rc6da2da686d84845" Type="http://schemas.openxmlformats.org/officeDocument/2006/relationships/extended-properties" Target="docProps/app.xml"/><Relationship Id="R153c58753e6d45b6" Type="http://schemas.openxmlformats.org/officeDocument/2006/relationships/custom-properties" Target="docProps/custom.xml"/></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160"/>
        <w:jc w:val="center"/>
      </w:pPr>
      <w:r>
        <w:rPr>
          <w:b/>
          <w:sz w:val="52"/>
        </w:rPr>
        <w:t xml:space="preserve">Breast Cancer Data Analysis &amp; Prediction</w:t>
      </w:r>
    </w:p>
    <w:p w14:paraId="00100002" w14:textId="00100003">
      <w:pPr>
        <w:pStyle w:val="Normal"/>
        <w:spacing w:after="120"/>
        <w:jc w:val="center"/>
      </w:pPr>
      <w:r>
        <w:t>Breast Cancer Data Analysis and Machine Learning Classification</w:t>
      </w:r>
    </w:p>
    <w:p w14:paraId="00100004" w14:textId="00100005">
      <w:pPr>
        <w:pStyle w:val="Normal"/>
        <w:spacing w:after="400"/>
        <w:jc w:val="center"/>
      </w:pPr>
      <w:r>
        <w:rPr>
          <w:color w:val="777777"/>
          <w:sz w:val="22"/>
        </w:rPr>
        <w:t xml:space="preserve">Dataset: Wisconsin Breast Cancer Diagnostic Dataset (Kaggle)</w:t>
      </w:r>
    </w:p>
    <w:p w14:paraId="00100006" w14:textId="00100007">
      <w:pPr>
        <w:pStyle w:val="Heading2"/>
        <w:spacing w:after="120"/>
      </w:pPr>
      <w:r>
        <w:rPr>
          <w:b/>
          <w:sz w:val="32"/>
        </w:rPr>
        <w:t xml:space="preserve">Table of Contents</w:t>
      </w:r>
    </w:p>
    <w:p w14:paraId="00100008" w14:textId="00100009">
      <w:pPr>
        <w:pStyle w:val="Normal"/>
        <w:spacing w:after="60"/>
      </w:pPr>
      <w:r>
        <w:rPr>
          <w:sz w:val="22"/>
        </w:rPr>
        <w:t xml:space="preserve">1. Executive Summary</w:t>
      </w:r>
    </w:p>
    <w:p w14:paraId="0010000A" w14:textId="0010000B">
      <w:pPr>
        <w:pStyle w:val="Normal"/>
        <w:spacing w:after="60"/>
      </w:pPr>
      <w:r>
        <w:rPr>
          <w:sz w:val="22"/>
        </w:rPr>
        <w:t xml:space="preserve">2. Introduction &amp; Problem Statement</w:t>
      </w:r>
    </w:p>
    <w:p w14:paraId="0010000C" w14:textId="0010000D">
      <w:pPr>
        <w:pStyle w:val="Normal"/>
        <w:spacing w:after="60"/>
      </w:pPr>
      <w:r>
        <w:rPr>
          <w:sz w:val="22"/>
        </w:rPr>
        <w:t xml:space="preserve">3. Dataset Description</w:t>
      </w:r>
    </w:p>
    <w:p w14:paraId="0010000E" w14:textId="0010000F">
      <w:pPr>
        <w:pStyle w:val="Normal"/>
        <w:spacing w:after="60"/>
      </w:pPr>
      <w:r>
        <w:rPr>
          <w:sz w:val="22"/>
        </w:rPr>
        <w:t xml:space="preserve">4. Technologies &amp; Libraries Used</w:t>
      </w:r>
    </w:p>
    <w:p w14:paraId="00100010" w14:textId="00100011">
      <w:pPr>
        <w:pStyle w:val="Normal"/>
        <w:spacing w:after="60"/>
      </w:pPr>
      <w:r>
        <w:rPr>
          <w:sz w:val="22"/>
        </w:rPr>
        <w:t xml:space="preserve">5. Methodology</w:t>
      </w:r>
    </w:p>
    <w:p w14:paraId="00100012" w14:textId="00100013">
      <w:pPr>
        <w:pStyle w:val="Normal"/>
        <w:spacing w:after="60"/>
      </w:pPr>
      <w:r>
        <w:rPr>
          <w:sz w:val="22"/>
        </w:rPr>
        <w:t xml:space="preserve">6. Exploratory Data Analysis</w:t>
      </w:r>
    </w:p>
    <w:p w14:paraId="00100014" w14:textId="00100015">
      <w:pPr>
        <w:pStyle w:val="Normal"/>
        <w:spacing w:after="60"/>
      </w:pPr>
      <w:r>
        <w:rPr>
          <w:sz w:val="22"/>
        </w:rPr>
        <w:t xml:space="preserve">7. Machine Learning Models</w:t>
      </w:r>
    </w:p>
    <w:p w14:paraId="00100016" w14:textId="00100017">
      <w:pPr>
        <w:pStyle w:val="Normal"/>
        <w:spacing w:after="60"/>
      </w:pPr>
      <w:r>
        <w:rPr>
          <w:sz w:val="22"/>
        </w:rPr>
        <w:t xml:space="preserve">8. Results &amp; Performance Metrics</w:t>
      </w:r>
    </w:p>
    <w:p w14:paraId="00100018" w14:textId="00100019">
      <w:pPr>
        <w:pStyle w:val="Normal"/>
        <w:spacing w:after="60"/>
      </w:pPr>
      <w:r>
        <w:rPr>
          <w:sz w:val="22"/>
        </w:rPr>
        <w:t xml:space="preserve">9. Key Findings &amp; Insights</w:t>
      </w:r>
    </w:p>
    <w:p w14:paraId="0010001A" w14:textId="0010001B">
      <w:pPr>
        <w:pStyle w:val="Normal"/>
        <w:spacing w:after="60"/>
      </w:pPr>
      <w:r>
        <w:rPr>
          <w:sz w:val="22"/>
        </w:rPr>
        <w:t xml:space="preserve">10. Conclusion &amp; Future Work</w:t>
      </w:r>
    </w:p>
    <w:p w14:paraId="0010001C" w14:textId="0010001D">
      <w:pPr>
        <w:pStyle w:val="Normal"/>
        <w:spacing w:after="400"/>
      </w:pPr>
      <w:r>
        <w:rPr>
          <w:sz w:val="22"/>
        </w:rPr>
        <w:t xml:space="preserve">11. References</w:t>
      </w:r>
    </w:p>
    <w:p w14:paraId="0010001E" w14:textId="0010001F">
      <w:pPr>
        <w:pStyle w:val="Heading1"/>
        <w:spacing w:before="320" w:after="160"/>
      </w:pPr>
      <w:r>
        <w:rPr>
          <w:b/>
          <w:sz w:val="36"/>
        </w:rPr>
        <w:t xml:space="preserve">1. Executive Summary</w:t>
      </w:r>
    </w:p>
    <w:p w14:paraId="00100020" w14:textId="00100021">
      <w:pPr>
        <w:pStyle w:val="Normal"/>
        <w:spacing w:after="200"/>
      </w:pPr>
      <w:r>
        <w:t>This project presents a educational data analysis and machine-learning classification project. Using the Wisconsin Breast Cancer Diagnostic Dataset containing 569 patient records and 30 computed features, we developed, trained, and evaluated eight classification models to distinguish between Malignant (cancerous) and Benign (non-cancerous) tumors. The best-performing model — a hyperparameter-tuned Random Forest classifier — achieved over 97% accuracy and a ROC-AUC score above 0.99 on the held-out test set. The project encompasses end-to-end data science workflows: data preprocessing, exploratory data analysis, feature engineering, dimensionality reduction (PCA), model comparison, hyperparameter tuning, and interactive visualization.</w:t>
      </w:r>
    </w:p>
    <w:p w14:paraId="00100022" w14:textId="00100023">
      <w:pPr>
        <w:pStyle w:val="Heading1"/>
        <w:spacing w:before="320" w:after="160"/>
      </w:pPr>
      <w:r>
        <w:rPr>
          <w:b/>
          <w:sz w:val="36"/>
        </w:rPr>
        <w:t xml:space="preserve">2. Introduction &amp; Problem Statement</w:t>
      </w:r>
    </w:p>
    <w:p w14:paraId="00100024" w14:textId="00100025">
      <w:pPr>
        <w:pStyle w:val="Normal"/>
        <w:spacing w:after="160"/>
      </w:pPr>
      <w:r>
        <w:rPr>
          <w:sz w:val="22"/>
        </w:rPr>
        <w:t xml:space="preserve">Breast cancer is the most prevalent cancer among women worldwide, accounting for approximately 25% of all cancer cases. Early and accurate diagnosis is critical: when detected at Stage I, the 5-year survival rate exceeds 99%, whereas late-stage detection drops this rate dramatically. Traditional diagnosis relies on biopsy analysis by pathologists, which is time-consuming, subjective, and prone to inter-observer variability.</w:t>
      </w:r>
    </w:p>
    <w:p w14:paraId="00100026" w14:textId="00100027">
      <w:pPr>
        <w:pStyle w:val="Normal"/>
        <w:spacing w:after="160"/>
      </w:pPr>
      <w:r>
        <w:t>Machine learning offers a powerful alternative — it can analyze digitized fine needle aspirate (FNA) cell nucleus features extracted from biopsy images and classify tumors with high accuracy, consistency, and speed. This project demonstrates an educational, reproducible data-analysis and machine-learning workflow. The results are intended for academic learning and are not clinically validated.</w:t>
      </w:r>
    </w:p>
    <w:p w14:paraId="00100028" w14:textId="00100029">
      <w:pPr>
        <w:pStyle w:val="Normal"/>
        <w:spacing w:after="80"/>
      </w:pPr>
      <w:r>
        <w:rPr>
          <w:b/>
          <w:sz w:val="22"/>
        </w:rPr>
        <w:t xml:space="preserve">Project Objectives:</w:t>
      </w:r>
    </w:p>
    <w:p w14:paraId="0010002A" w14:textId="0010002B">
      <w:pPr>
        <w:pStyle w:val="Normal"/>
        <w:spacing w:after="60"/>
      </w:pPr>
      <w:r>
        <w:rPr>
          <w:sz w:val="22"/>
        </w:rPr>
        <w:t xml:space="preserve">• Perform thorough exploratory data analysis on breast cancer features</w:t>
      </w:r>
    </w:p>
    <w:p w14:paraId="0010002C" w14:textId="0010002D">
      <w:pPr>
        <w:pStyle w:val="Normal"/>
        <w:spacing w:after="60"/>
      </w:pPr>
      <w:r>
        <w:rPr>
          <w:sz w:val="22"/>
        </w:rPr>
        <w:t xml:space="preserve">• Identify the most diagnostically significant features</w:t>
      </w:r>
    </w:p>
    <w:p w14:paraId="0010002E" w14:textId="0010002F">
      <w:pPr>
        <w:pStyle w:val="Normal"/>
        <w:spacing w:after="60"/>
      </w:pPr>
      <w:r>
        <w:rPr>
          <w:sz w:val="22"/>
        </w:rPr>
        <w:t xml:space="preserve">• Train and compare multiple machine learning classifiers</w:t>
      </w:r>
    </w:p>
    <w:p w14:paraId="00100030" w14:textId="00100031">
      <w:pPr>
        <w:pStyle w:val="Normal"/>
        <w:spacing w:after="60"/>
      </w:pPr>
      <w:r>
        <w:rPr>
          <w:sz w:val="22"/>
        </w:rPr>
        <w:t xml:space="preserve">• Tune the best model using GridSearchCV hyperparameter optimization</w:t>
      </w:r>
    </w:p>
    <w:p w14:paraId="00100032" w14:textId="00100033">
      <w:pPr>
        <w:pStyle w:val="Normal"/>
        <w:spacing w:after="60"/>
      </w:pPr>
      <w:r>
        <w:rPr>
          <w:sz w:val="22"/>
        </w:rPr>
        <w:t xml:space="preserve">• Produce interactive visualizations for clinical insight</w:t>
      </w:r>
    </w:p>
    <w:p w14:paraId="00100034" w14:textId="00100035">
      <w:pPr>
        <w:pStyle w:val="Normal"/>
        <w:spacing w:after="200"/>
      </w:pPr>
      <w:r>
        <w:t>• Save the trained model for reproducible educational experiments</w:t>
      </w:r>
    </w:p>
    <w:p w14:paraId="00100036" w14:textId="00100037">
      <w:pPr>
        <w:pStyle w:val="Heading1"/>
        <w:spacing w:before="320" w:after="160"/>
      </w:pPr>
      <w:r>
        <w:rPr>
          <w:b/>
          <w:sz w:val="36"/>
        </w:rPr>
        <w:t xml:space="preserve">3. Dataset Description</w:t>
      </w:r>
    </w:p>
    <w:p w14:paraId="00100038" w14:textId="00100039">
      <w:pPr>
        <w:pStyle w:val="Heading2"/>
        <w:spacing w:after="120"/>
      </w:pPr>
      <w:r>
        <w:rPr>
          <w:b/>
          <w:sz w:val="28"/>
        </w:rPr>
        <w:t xml:space="preserve">Dataset Overview</w:t>
      </w:r>
    </w:p>
    <w:p w14:paraId="0010003A" w14:textId="0010003B">
      <w:pPr>
        <w:pStyle w:val="Normal"/>
        <w:spacing w:after="80"/>
      </w:pPr>
      <w:r>
        <w:rPr>
          <w:sz w:val="22"/>
        </w:rPr>
        <w:t xml:space="preserve">Source: Breast Cancer Wisconsin (Diagnostic) Dataset — Kaggle / UCI Machine Learning Repository</w:t>
      </w:r>
    </w:p>
    <w:p w14:paraId="0010003C" w14:textId="0010003D">
      <w:pPr>
        <w:pStyle w:val="Normal"/>
        <w:spacing w:after="80"/>
      </w:pPr>
      <w:r>
        <w:rPr>
          <w:sz w:val="22"/>
        </w:rPr>
        <w:t xml:space="preserve">URL: https://www.kaggle.com/datasets/yasserh/breast-cancer-dataset</w:t>
      </w:r>
    </w:p>
    <w:p w14:paraId="0010003E" w14:textId="0010003F">
      <w:pPr>
        <w:pStyle w:val="Normal"/>
        <w:spacing w:after="160"/>
      </w:pPr>
      <w:r>
        <w:rPr>
          <w:sz w:val="22"/>
        </w:rPr>
        <w:t xml:space="preserve">Creators: Dr. William H. Wolberg, W. Nick Street, Olvi L. Mangasarian — University of Wisconsin</w:t>
      </w:r>
    </w:p>
    <w:p w14:paraId="00100040" w14:textId="00100041">
      <w:pPr>
        <w:pStyle w:val="Heading2"/>
        <w:spacing w:after="120"/>
      </w:pPr>
      <w:r>
        <w:rPr>
          <w:b/>
          <w:sz w:val="28"/>
        </w:rPr>
        <w:t xml:space="preserve">Dataset Statistics</w:t>
      </w:r>
    </w:p>
    <w:tbl>
      <w:tblPr>
        <w:tblW w:w="4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42" w14:textId="00100043">
            <w:r>
              <w:t xml:space="preserve">Attribute</w:t>
            </w:r>
          </w:p>
        </w:tc>
        <w:tc>
          <w:p w14:paraId="00100044" w14:textId="00100045">
            <w:r>
              <w:t xml:space="preserve">Value</w:t>
            </w:r>
          </w:p>
        </w:tc>
      </w:tr>
      <w:tr>
        <w:trPr/>
        <w:tc>
          <w:p w14:paraId="00100046" w14:textId="00100047">
            <w:r>
              <w:t xml:space="preserve">Total Samples</w:t>
            </w:r>
          </w:p>
        </w:tc>
        <w:tc>
          <w:p w14:paraId="00100048" w14:textId="00100049">
            <w:r>
              <w:t xml:space="preserve">569</w:t>
            </w:r>
          </w:p>
        </w:tc>
      </w:tr>
      <w:tr>
        <w:trPr/>
        <w:tc>
          <w:p w14:paraId="0010004A" w14:textId="0010004B">
            <w:r>
              <w:t xml:space="preserve">Total Features</w:t>
            </w:r>
          </w:p>
        </w:tc>
        <w:tc>
          <w:p w14:paraId="0010004C" w14:textId="0010004D">
            <w:r>
              <w:t xml:space="preserve">30 numeric features + 1 target</w:t>
            </w:r>
          </w:p>
        </w:tc>
      </w:tr>
      <w:tr>
        <w:trPr/>
        <w:tc>
          <w:p w14:paraId="0010004E" w14:textId="0010004F">
            <w:r>
              <w:t xml:space="preserve">Target Variable</w:t>
            </w:r>
          </w:p>
        </w:tc>
        <w:tc>
          <w:p w14:paraId="00100050" w14:textId="00100051">
            <w:r>
              <w:t xml:space="preserve">diagnosis (M = Malignant, B = Benign)</w:t>
            </w:r>
          </w:p>
        </w:tc>
      </w:tr>
      <w:tr>
        <w:trPr/>
        <w:tc>
          <w:p w14:paraId="00100052" w14:textId="00100053">
            <w:r>
              <w:t xml:space="preserve">Missing Values</w:t>
            </w:r>
          </w:p>
        </w:tc>
        <w:tc>
          <w:p w14:paraId="00100054" w14:textId="00100055">
            <w:r>
              <w:t xml:space="preserve">None</w:t>
            </w:r>
          </w:p>
        </w:tc>
      </w:tr>
      <w:tr>
        <w:trPr/>
        <w:tc>
          <w:p w14:paraId="00100056" w14:textId="00100057">
            <w:r>
              <w:t xml:space="preserve">Duplicate Rows</w:t>
            </w:r>
          </w:p>
        </w:tc>
        <w:tc>
          <w:p w14:paraId="00100058" w14:textId="00100059">
            <w:r>
              <w:t xml:space="preserve">None</w:t>
            </w:r>
          </w:p>
        </w:tc>
      </w:tr>
    </w:tbl>
    <w:p w14:paraId="0010005A" w14:textId="0010005B">
      <w:pPr>
        <w:pStyle w:val="Heading2"/>
        <w:spacing w:before="240" w:after="120"/>
      </w:pPr>
      <w:r>
        <w:rPr>
          <w:b/>
          <w:sz w:val="28"/>
        </w:rPr>
        <w:t xml:space="preserve">Feature Groups</w:t>
      </w:r>
    </w:p>
    <w:p w14:paraId="0010005C" w14:textId="0010005D">
      <w:pPr>
        <w:pStyle w:val="Normal"/>
        <w:spacing w:after="120"/>
      </w:pPr>
      <w:r>
        <w:rPr>
          <w:sz w:val="22"/>
        </w:rPr>
        <w:t xml:space="preserve">The 30 numeric features are computed from digitized images of FNA biopsies. For each of 10 cell nucleus measurements, three statistical values are derived:</w:t>
      </w:r>
    </w:p>
    <w:p w14:paraId="0010005E" w14:textId="0010005F">
      <w:pPr>
        <w:pStyle w:val="Normal"/>
        <w:spacing w:after="60"/>
      </w:pPr>
      <w:r>
        <w:rPr>
          <w:sz w:val="22"/>
        </w:rPr>
        <w:t xml:space="preserve">• Mean Value (_mean): average over all cells in the image</w:t>
      </w:r>
    </w:p>
    <w:p w14:paraId="00100060" w14:textId="00100061">
      <w:pPr>
        <w:pStyle w:val="Normal"/>
        <w:spacing w:after="60"/>
      </w:pPr>
      <w:r>
        <w:rPr>
          <w:sz w:val="22"/>
        </w:rPr>
        <w:t xml:space="preserve">• Standard Error (_se): standard error of the measurement</w:t>
      </w:r>
    </w:p>
    <w:p w14:paraId="00100062" w14:textId="00100063">
      <w:pPr>
        <w:pStyle w:val="Normal"/>
        <w:spacing w:after="120"/>
      </w:pPr>
      <w:r>
        <w:rPr>
          <w:sz w:val="22"/>
        </w:rPr>
        <w:t xml:space="preserve">• Worst Value (_worst): mean of the three largest values</w:t>
      </w:r>
    </w:p>
    <w:p w14:paraId="00100064" w14:textId="00100065">
      <w:pPr>
        <w:pStyle w:val="Normal"/>
        <w:spacing w:after="200"/>
      </w:pPr>
      <w:r>
        <w:rPr>
          <w:sz w:val="22"/>
        </w:rPr>
        <w:t xml:space="preserve">The 10 base measurements are: radius, texture, perimeter, area, smoothness, compactness, concavity, concave points, symmetry, and fractal dimension.</w:t>
      </w:r>
    </w:p>
    <w:p w14:paraId="00100066" w14:textId="00100067">
      <w:pPr>
        <w:pStyle w:val="Heading2"/>
        <w:spacing w:after="120"/>
      </w:pPr>
      <w:r>
        <w:rPr>
          <w:b/>
          <w:sz w:val="28"/>
        </w:rPr>
        <w:t xml:space="preserve">Class Distribution</w:t>
      </w:r>
    </w:p>
    <w:p w14:paraId="00100068" w14:textId="00100069">
      <w:pPr>
        <w:pStyle w:val="Normal"/>
        <w:spacing w:after="60"/>
      </w:pPr>
      <w:r>
        <w:rPr>
          <w:sz w:val="22"/>
        </w:rPr>
        <w:t xml:space="preserve">• Benign (B): 357 samples (62.7%) — Non-cancerous tumors</w:t>
      </w:r>
    </w:p>
    <w:p w14:paraId="0010006A" w14:textId="0010006B">
      <w:pPr>
        <w:pStyle w:val="Normal"/>
        <w:spacing w:after="200"/>
      </w:pPr>
      <w:r>
        <w:rPr>
          <w:sz w:val="22"/>
        </w:rPr>
        <w:t xml:space="preserve">• Malignant (M): 212 samples (37.3%) — Cancerous tumors</w:t>
      </w:r>
    </w:p>
    <w:p w14:paraId="0010006C" w14:textId="0010006D">
      <w:pPr>
        <w:pStyle w:val="Heading1"/>
        <w:spacing w:before="320" w:after="160"/>
      </w:pPr>
      <w:r>
        <w:rPr>
          <w:b/>
          <w:sz w:val="36"/>
        </w:rPr>
        <w:t xml:space="preserve">4. Technologies &amp; Libraries Used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6E" w14:textId="0010006F">
            <w:r>
              <w:t xml:space="preserve">Category</w:t>
            </w:r>
          </w:p>
        </w:tc>
        <w:tc>
          <w:p w14:paraId="00100070" w14:textId="00100071">
            <w:r>
              <w:t xml:space="preserve">Library / Tool</w:t>
            </w:r>
          </w:p>
        </w:tc>
        <w:tc>
          <w:p w14:paraId="00100072" w14:textId="00100073">
            <w:r>
              <w:t xml:space="preserve">Version / Notes</w:t>
            </w:r>
          </w:p>
        </w:tc>
      </w:tr>
      <w:tr>
        <w:trPr/>
        <w:tc>
          <w:p w14:paraId="00100074" w14:textId="00100075">
            <w:r>
              <w:t xml:space="preserve">Language</w:t>
            </w:r>
          </w:p>
        </w:tc>
        <w:tc>
          <w:p w14:paraId="00100076" w14:textId="00100077">
            <w:r>
              <w:t xml:space="preserve">Python</w:t>
            </w:r>
          </w:p>
        </w:tc>
        <w:tc>
          <w:p w14:paraId="00100078" w14:textId="00100079">
            <w:r>
              <w:t xml:space="preserve">3.9+</w:t>
            </w:r>
          </w:p>
        </w:tc>
      </w:tr>
      <w:tr>
        <w:trPr/>
        <w:tc>
          <w:p w14:paraId="0010007A" w14:textId="0010007B">
            <w:r>
              <w:t xml:space="preserve">Data Manipulation</w:t>
            </w:r>
          </w:p>
        </w:tc>
        <w:tc>
          <w:p w14:paraId="0010007C" w14:textId="0010007D">
            <w:r>
              <w:t xml:space="preserve">pandas, numpy</w:t>
            </w:r>
          </w:p>
        </w:tc>
        <w:tc>
          <w:p w14:paraId="0010007E" w14:textId="0010007F">
            <w:r>
              <w:t xml:space="preserve">2.0+, 1.24+</w:t>
            </w:r>
          </w:p>
        </w:tc>
      </w:tr>
      <w:tr>
        <w:trPr/>
        <w:tc>
          <w:p w14:paraId="00100080" w14:textId="00100081">
            <w:r>
              <w:t xml:space="preserve">Machine Learning</w:t>
            </w:r>
          </w:p>
        </w:tc>
        <w:tc>
          <w:p w14:paraId="00100082" w14:textId="00100083">
            <w:r>
              <w:t xml:space="preserve">scikit-learn</w:t>
            </w:r>
          </w:p>
        </w:tc>
        <w:tc>
          <w:p w14:paraId="00100084" w14:textId="00100085">
            <w:r>
              <w:t xml:space="preserve">1.3+</w:t>
            </w:r>
          </w:p>
        </w:tc>
      </w:tr>
      <w:tr>
        <w:trPr/>
        <w:tc>
          <w:p w14:paraId="00100086" w14:textId="00100087">
            <w:r>
              <w:t xml:space="preserve">Static Visualization</w:t>
            </w:r>
          </w:p>
        </w:tc>
        <w:tc>
          <w:p w14:paraId="00100088" w14:textId="00100089">
            <w:r>
              <w:t xml:space="preserve">matplotlib, seaborn</w:t>
            </w:r>
          </w:p>
        </w:tc>
        <w:tc>
          <w:p w14:paraId="0010008A" w14:textId="0010008B">
            <w:r>
              <w:t xml:space="preserve">3.7+, 0.12+</w:t>
            </w:r>
          </w:p>
        </w:tc>
      </w:tr>
      <w:tr>
        <w:trPr/>
        <w:tc>
          <w:p w14:paraId="0010008C" w14:textId="0010008D">
            <w:r>
              <w:t xml:space="preserve">Interactive Visualization</w:t>
            </w:r>
          </w:p>
        </w:tc>
        <w:tc>
          <w:p w14:paraId="0010008E" w14:textId="0010008F">
            <w:r>
              <w:t xml:space="preserve">plotly</w:t>
            </w:r>
          </w:p>
        </w:tc>
        <w:tc>
          <w:p w14:paraId="00100090" w14:textId="00100091">
            <w:r>
              <w:t xml:space="preserve">5.15+</w:t>
            </w:r>
          </w:p>
        </w:tc>
      </w:tr>
      <w:tr>
        <w:trPr/>
        <w:tc>
          <w:p w14:paraId="00100092" w14:textId="00100093">
            <w:r>
              <w:t xml:space="preserve">Notebook Environment</w:t>
            </w:r>
          </w:p>
        </w:tc>
        <w:tc>
          <w:p w14:paraId="00100094" w14:textId="00100095">
            <w:r>
              <w:t xml:space="preserve">Jupyter Notebook / JupyterLab</w:t>
            </w:r>
          </w:p>
        </w:tc>
        <w:tc>
          <w:p w14:paraId="00100096" w14:textId="00100097">
            <w:r>
              <w:t xml:space="preserve">7.0+ / 4.0+</w:t>
            </w:r>
          </w:p>
        </w:tc>
      </w:tr>
      <w:tr>
        <w:trPr/>
        <w:tc>
          <w:p w14:paraId="00100098" w14:textId="00100099">
            <w:r>
              <w:t xml:space="preserve">Model Persistence</w:t>
            </w:r>
          </w:p>
        </w:tc>
        <w:tc>
          <w:p w14:paraId="0010009A" w14:textId="0010009B">
            <w:r>
              <w:t xml:space="preserve">joblib</w:t>
            </w:r>
          </w:p>
        </w:tc>
        <w:tc>
          <w:p w14:paraId="0010009C" w14:textId="0010009D">
            <w:r>
              <w:t xml:space="preserve">1.3+</w:t>
            </w:r>
          </w:p>
        </w:tc>
      </w:tr>
      <w:tr>
        <w:trPr/>
        <w:tc>
          <w:p w14:paraId="0010009E" w14:textId="0010009F">
            <w:r>
              <w:t xml:space="preserve">Scientific Computing</w:t>
            </w:r>
          </w:p>
        </w:tc>
        <w:tc>
          <w:p w14:paraId="001000A0" w14:textId="001000A1">
            <w:r>
              <w:t xml:space="preserve">scipy</w:t>
            </w:r>
          </w:p>
        </w:tc>
        <w:tc>
          <w:p w14:paraId="001000A2" w14:textId="001000A3">
            <w:r>
              <w:t xml:space="preserve">1.11+</w:t>
            </w:r>
          </w:p>
        </w:tc>
      </w:tr>
      <w:tr>
        <w:trPr/>
        <w:tc>
          <w:p w14:paraId="001000A4" w14:textId="001000A5">
            <w:r>
              <w:t xml:space="preserve">Development IDE</w:t>
            </w:r>
          </w:p>
        </w:tc>
        <w:tc>
          <w:p w14:paraId="001000A6" w14:textId="001000A7">
            <w:r>
              <w:t xml:space="preserve">VS Code / JupyterLab</w:t>
            </w:r>
          </w:p>
        </w:tc>
        <w:tc>
          <w:p w14:paraId="001000A8" w14:textId="001000A9">
            <w:r>
              <w:t xml:space="preserve">Any</w:t>
            </w:r>
          </w:p>
        </w:tc>
      </w:tr>
      <w:tr>
        <w:trPr/>
        <w:tc>
          <w:p w14:paraId="001000AA" w14:textId="001000AB">
            <w:r>
              <w:t xml:space="preserve">Export</w:t>
            </w:r>
          </w:p>
        </w:tc>
        <w:tc>
          <w:p w14:paraId="001000AC" w14:textId="001000AD">
            <w:r>
              <w:t xml:space="preserve">nbconvert, python-docx</w:t>
            </w:r>
          </w:p>
        </w:tc>
        <w:tc>
          <w:p w14:paraId="001000AE" w14:textId="001000AF">
            <w:r>
              <w:t xml:space="preserve">Optional</w:t>
            </w:r>
          </w:p>
        </w:tc>
      </w:tr>
    </w:tbl>
    <w:p w14:paraId="001000B0" w14:textId="001000B1">
      <w:pPr>
        <w:pStyle w:val="Heading1"/>
        <w:spacing w:before="320" w:after="160"/>
      </w:pPr>
      <w:r>
        <w:rPr>
          <w:b/>
          <w:sz w:val="36"/>
        </w:rPr>
        <w:t xml:space="preserve">5. Methodology</w:t>
      </w:r>
    </w:p>
    <w:p w14:paraId="001000B2" w14:textId="001000B3">
      <w:pPr>
        <w:pStyle w:val="Heading2"/>
        <w:spacing w:after="120"/>
      </w:pPr>
      <w:r>
        <w:rPr>
          <w:b/>
          <w:sz w:val="28"/>
        </w:rPr>
        <w:t xml:space="preserve">5.1 Data Preprocessing</w:t>
      </w:r>
    </w:p>
    <w:p w14:paraId="001000B4" w14:textId="001000B5">
      <w:pPr>
        <w:pStyle w:val="Normal"/>
        <w:spacing w:after="80"/>
      </w:pPr>
      <w:r>
        <w:rPr>
          <w:sz w:val="22"/>
        </w:rPr>
        <w:t xml:space="preserve">Step 1 — Data Loading: The CSV dataset was loaded using pandas. Initial inspection included shape, dtypes, and statistical summary.</w:t>
      </w:r>
    </w:p>
    <w:p w14:paraId="001000B6" w14:textId="001000B7">
      <w:pPr>
        <w:pStyle w:val="Normal"/>
        <w:spacing w:after="80"/>
      </w:pPr>
      <w:r>
        <w:rPr>
          <w:sz w:val="22"/>
        </w:rPr>
        <w:t xml:space="preserve">Step 2 — Data Cleaning: The id column (non-predictive identifier) was dropped. Unnamed trailing columns were removed. Zero duplicate rows were found in the dataset.</w:t>
      </w:r>
    </w:p>
    <w:p w14:paraId="001000B8" w14:textId="001000B9">
      <w:pPr>
        <w:pStyle w:val="Normal"/>
        <w:spacing w:after="80"/>
      </w:pPr>
      <w:r>
        <w:rPr>
          <w:sz w:val="22"/>
        </w:rPr>
        <w:t xml:space="preserve">Step 3 — Missing Value Treatment: No missing values were detected in the dataset, confirming its completeness.</w:t>
      </w:r>
    </w:p>
    <w:p w14:paraId="001000BA" w14:textId="001000BB">
      <w:pPr>
        <w:pStyle w:val="Normal"/>
        <w:spacing w:after="200"/>
      </w:pPr>
      <w:r>
        <w:rPr>
          <w:sz w:val="22"/>
        </w:rPr>
        <w:t xml:space="preserve">Step 4 — Label Encoding: The categorical target variable diagnosis (M/B) was encoded to binary: Malignant = 1, Benign = 0 using scikit-learn's LabelEncoder.</w:t>
      </w:r>
    </w:p>
    <w:p w14:paraId="001000BC" w14:textId="001000BD">
      <w:pPr>
        <w:pStyle w:val="Heading2"/>
        <w:spacing w:after="120"/>
      </w:pPr>
      <w:r>
        <w:rPr>
          <w:b/>
          <w:sz w:val="28"/>
        </w:rPr>
        <w:t xml:space="preserve">5.2 Feature Engineering</w:t>
      </w:r>
    </w:p>
    <w:p w14:paraId="001000BE" w14:textId="001000BF">
      <w:pPr>
        <w:pStyle w:val="Normal"/>
        <w:spacing w:after="200"/>
      </w:pPr>
      <w:r>
        <w:rPr>
          <w:sz w:val="22"/>
        </w:rPr>
        <w:t xml:space="preserve">All 30 numeric features were retained as predictors. No new features were synthesized, as the existing feature set is already rich and informative. Feature scaling was applied using StandardScaler (zero mean, unit variance) since several models (SVM, KNN, Logistic Regression) are sensitive to feature magnitude differences. The scaler was fit exclusively on the training data and applied to the test set to prevent data leakage.</w:t>
      </w:r>
    </w:p>
    <w:p w14:paraId="001000C0" w14:textId="001000C1">
      <w:pPr>
        <w:pStyle w:val="Heading2"/>
        <w:spacing w:after="120"/>
      </w:pPr>
      <w:r>
        <w:rPr>
          <w:b/>
          <w:sz w:val="28"/>
        </w:rPr>
        <w:t xml:space="preserve">5.3 Train-Test Split</w:t>
      </w:r>
    </w:p>
    <w:p w14:paraId="001000C2" w14:textId="001000C3">
      <w:pPr>
        <w:pStyle w:val="Normal"/>
        <w:spacing w:after="200"/>
      </w:pPr>
      <w:r>
        <w:rPr>
          <w:sz w:val="22"/>
        </w:rPr>
        <w:t xml:space="preserve">The dataset was split into 80% training (455 samples) and 20% test (114 samples) sets using stratified sampling to preserve the Malignant/Benign class ratio in both splits. A fixed random_state=42 ensures reproducibility.</w:t>
      </w:r>
    </w:p>
    <w:p w14:paraId="001000C4" w14:textId="001000C5">
      <w:pPr>
        <w:pStyle w:val="Heading2"/>
        <w:spacing w:after="120"/>
      </w:pPr>
      <w:r>
        <w:rPr>
          <w:b/>
          <w:sz w:val="28"/>
        </w:rPr>
        <w:t xml:space="preserve">5.4 Dimensionality Reduction — PCA</w:t>
      </w:r>
    </w:p>
    <w:p w14:paraId="001000C6" w14:textId="001000C7">
      <w:pPr>
        <w:pStyle w:val="Normal"/>
        <w:spacing w:after="200"/>
      </w:pPr>
      <w:r>
        <w:rPr>
          <w:sz w:val="22"/>
        </w:rPr>
        <w:t xml:space="preserve">Principal Component Analysis (PCA) was applied for visualization purposes. Two principal components captured approximately 63% of the total variance, clearly separating Malignant and Benign clusters in 2D and 3D projections. The cumulative explained variance curve showed that 10 principal components capture 95% of variance, indicating significant feature redundancy.</w:t>
      </w:r>
    </w:p>
    <w:p w14:paraId="001000C8" w14:textId="001000C9">
      <w:pPr>
        <w:pStyle w:val="Heading1"/>
        <w:spacing w:before="320" w:after="160"/>
      </w:pPr>
      <w:r>
        <w:rPr>
          <w:b/>
          <w:sz w:val="36"/>
        </w:rPr>
        <w:t xml:space="preserve">6. Exploratory Data Analysis</w:t>
      </w:r>
    </w:p>
    <w:p w14:paraId="001000CA" w14:textId="001000CB">
      <w:pPr>
        <w:pStyle w:val="Normal"/>
        <w:spacing w:after="160"/>
      </w:pPr>
      <w:r>
        <w:rPr>
          <w:sz w:val="22"/>
        </w:rPr>
        <w:t xml:space="preserve">The EDA phase consisted of seven major visualization categories to thoroughly understand the data distribution, feature relationships, and class separability:</w:t>
      </w:r>
    </w:p>
    <w:p w14:paraId="001000CC" w14:textId="001000CD">
      <w:pPr>
        <w:pStyle w:val="Heading2"/>
        <w:spacing w:after="120"/>
      </w:pPr>
      <w:r>
        <w:rPr>
          <w:b/>
          <w:sz w:val="28"/>
        </w:rPr>
        <w:t xml:space="preserve">6.1 Class Distribution Analysis</w:t>
      </w:r>
    </w:p>
    <w:p w14:paraId="001000CE" w14:textId="001000CF">
      <w:pPr>
        <w:pStyle w:val="Normal"/>
        <w:spacing w:after="160"/>
      </w:pPr>
      <w:r>
        <w:rPr>
          <w:sz w:val="22"/>
        </w:rPr>
        <w:t xml:space="preserve">Bar charts and pie charts revealed a moderately imbalanced dataset (62.7% Benign vs 37.3% Malignant). While not severely imbalanced, this was noted and stratified splitting was used throughout to ensure fair model evaluation.</w:t>
      </w:r>
    </w:p>
    <w:p w14:paraId="001000D0" w14:textId="001000D1">
      <w:pPr>
        <w:pStyle w:val="Heading2"/>
        <w:spacing w:after="120"/>
      </w:pPr>
      <w:r>
        <w:rPr>
          <w:b/>
          <w:sz w:val="28"/>
        </w:rPr>
        <w:t xml:space="preserve">6.2 Feature Distribution Histograms</w:t>
      </w:r>
    </w:p>
    <w:p w14:paraId="001000D2" w14:textId="001000D3">
      <w:pPr>
        <w:pStyle w:val="Normal"/>
        <w:spacing w:after="160"/>
      </w:pPr>
      <w:r>
        <w:rPr>
          <w:sz w:val="22"/>
        </w:rPr>
        <w:t xml:space="preserve">Overlapping histograms for all 12 mean features showed strong bimodal separation for several features (radius_mean, perimeter_mean, area_mean, concave points_mean), confirming their high discriminative power.</w:t>
      </w:r>
    </w:p>
    <w:p w14:paraId="001000D4" w14:textId="001000D5">
      <w:pPr>
        <w:pStyle w:val="Heading2"/>
        <w:spacing w:after="120"/>
      </w:pPr>
      <w:r>
        <w:rPr>
          <w:b/>
          <w:sz w:val="28"/>
        </w:rPr>
        <w:t xml:space="preserve">6.3 Correlation Heatmap</w:t>
      </w:r>
    </w:p>
    <w:p w14:paraId="001000D6" w14:textId="001000D7">
      <w:pPr>
        <w:pStyle w:val="Normal"/>
        <w:spacing w:after="160"/>
      </w:pPr>
      <w:r>
        <w:rPr>
          <w:sz w:val="22"/>
        </w:rPr>
        <w:t xml:space="preserve">The Pearson correlation heatmap revealed strong multicollinearity among size-related features (radius, perimeter, area — all &gt;0.99 correlation). This is expected as these are geometrically related. Compactness, concavity, and concave points also showed high mutual correlations.</w:t>
      </w:r>
    </w:p>
    <w:p w14:paraId="001000D8" w14:textId="001000D9">
      <w:pPr>
        <w:pStyle w:val="Heading2"/>
        <w:spacing w:after="120"/>
      </w:pPr>
      <w:r>
        <w:rPr>
          <w:b/>
          <w:sz w:val="28"/>
        </w:rPr>
        <w:t xml:space="preserve">6.4 Top Features Correlated with Diagnosis</w:t>
      </w:r>
    </w:p>
    <w:p w14:paraId="001000DA" w14:textId="001000DB">
      <w:pPr>
        <w:pStyle w:val="Normal"/>
        <w:spacing w:after="160"/>
      </w:pPr>
      <w:r>
        <w:rPr>
          <w:sz w:val="22"/>
        </w:rPr>
        <w:t xml:space="preserve">The top 5 features most correlated with malignancy (Pearson |r| &gt; 0.75) were: concave points_worst, perimeter_worst, concave points_mean, radius_worst, and perimeter_mean. These features consistently showed larger values in malignant tumors.</w:t>
      </w:r>
    </w:p>
    <w:p w14:paraId="001000DC" w14:textId="001000DD">
      <w:pPr>
        <w:pStyle w:val="Heading2"/>
        <w:spacing w:after="120"/>
      </w:pPr>
      <w:r>
        <w:rPr>
          <w:b/>
          <w:sz w:val="28"/>
        </w:rPr>
        <w:t xml:space="preserve">6.5 Boxplots &amp; Violin Plots</w:t>
      </w:r>
    </w:p>
    <w:p w14:paraId="001000DE" w14:textId="001000DF">
      <w:pPr>
        <w:pStyle w:val="Normal"/>
        <w:spacing w:after="200"/>
      </w:pPr>
      <w:r>
        <w:rPr>
          <w:sz w:val="22"/>
        </w:rPr>
        <w:t xml:space="preserve">Boxplots confirmed that malignant tumors have significantly higher median values across nearly all features, with less overlap observed in worst and mean features compared to SE features. Violin plots revealed the full distributional shape — many features showed heavy right tails in the malignant class.</w:t>
      </w:r>
    </w:p>
    <w:p w14:paraId="001000E0" w14:textId="001000E1">
      <w:pPr>
        <w:pStyle w:val="Heading1"/>
        <w:spacing w:before="320" w:after="160"/>
      </w:pPr>
      <w:r>
        <w:rPr>
          <w:b/>
          <w:sz w:val="36"/>
        </w:rPr>
        <w:t xml:space="preserve">7. Machine Learning Models</w:t>
      </w:r>
    </w:p>
    <w:p w14:paraId="001000E2" w14:textId="001000E3">
      <w:pPr>
        <w:pStyle w:val="Normal"/>
        <w:spacing w:after="160"/>
      </w:pPr>
      <w:r>
        <w:rPr>
          <w:sz w:val="22"/>
        </w:rPr>
        <w:t xml:space="preserve">Eight diverse classification algorithms were trained and evaluated: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E4" w14:textId="001000E5">
            <w:r>
              <w:t xml:space="preserve">Model</w:t>
            </w:r>
          </w:p>
        </w:tc>
        <w:tc>
          <w:p w14:paraId="001000E6" w14:textId="001000E7">
            <w:r>
              <w:t xml:space="preserve">Type</w:t>
            </w:r>
          </w:p>
        </w:tc>
        <w:tc>
          <w:p w14:paraId="001000E8" w14:textId="001000E9">
            <w:r>
              <w:t xml:space="preserve">Key Characteristics</w:t>
            </w:r>
          </w:p>
        </w:tc>
      </w:tr>
      <w:tr>
        <w:trPr/>
        <w:tc>
          <w:p w14:paraId="001000EA" w14:textId="001000EB">
            <w:r>
              <w:t xml:space="preserve">Logistic Regression</w:t>
            </w:r>
          </w:p>
        </w:tc>
        <w:tc>
          <w:p w14:paraId="001000EC" w14:textId="001000ED">
            <w:r>
              <w:t xml:space="preserve">Linear</w:t>
            </w:r>
          </w:p>
        </w:tc>
        <w:tc>
          <w:p w14:paraId="001000EE" w14:textId="001000EF">
            <w:r>
              <w:t xml:space="preserve">Fast, interpretable, good baseline</w:t>
            </w:r>
          </w:p>
        </w:tc>
      </w:tr>
      <w:tr>
        <w:trPr/>
        <w:tc>
          <w:p w14:paraId="001000F0" w14:textId="001000F1">
            <w:r>
              <w:t xml:space="preserve">K-Nearest Neighbors</w:t>
            </w:r>
          </w:p>
        </w:tc>
        <w:tc>
          <w:p w14:paraId="001000F2" w14:textId="001000F3">
            <w:r>
              <w:t xml:space="preserve">Instance-based</w:t>
            </w:r>
          </w:p>
        </w:tc>
        <w:tc>
          <w:p w14:paraId="001000F4" w14:textId="001000F5">
            <w:r>
              <w:t xml:space="preserve">Non-parametric, sensitive to scaling</w:t>
            </w:r>
          </w:p>
        </w:tc>
      </w:tr>
      <w:tr>
        <w:trPr/>
        <w:tc>
          <w:p w14:paraId="001000F6" w14:textId="001000F7">
            <w:r>
              <w:t xml:space="preserve">Naive Bayes</w:t>
            </w:r>
          </w:p>
        </w:tc>
        <w:tc>
          <w:p w14:paraId="001000F8" w14:textId="001000F9">
            <w:r>
              <w:t xml:space="preserve">Probabilistic</w:t>
            </w:r>
          </w:p>
        </w:tc>
        <w:tc>
          <w:p w14:paraId="001000FA" w14:textId="001000FB">
            <w:r>
              <w:t xml:space="preserve">Fast, assumes feature independence</w:t>
            </w:r>
          </w:p>
        </w:tc>
      </w:tr>
      <w:tr>
        <w:trPr/>
        <w:tc>
          <w:p w14:paraId="001000FC" w14:textId="001000FD">
            <w:r>
              <w:t xml:space="preserve">Decision Tree</w:t>
            </w:r>
          </w:p>
        </w:tc>
        <w:tc>
          <w:p w14:paraId="001000FE" w14:textId="001000FF">
            <w:r>
              <w:t xml:space="preserve">Tree-based</w:t>
            </w:r>
          </w:p>
        </w:tc>
        <w:tc>
          <w:p w14:paraId="00100100" w14:textId="00100101">
            <w:r>
              <w:t xml:space="preserve">Interpretable, prone to overfitting</w:t>
            </w:r>
          </w:p>
        </w:tc>
      </w:tr>
      <w:tr>
        <w:trPr/>
        <w:tc>
          <w:p w14:paraId="00100102" w14:textId="00100103">
            <w:r>
              <w:t xml:space="preserve">Random Forest</w:t>
            </w:r>
          </w:p>
        </w:tc>
        <w:tc>
          <w:p w14:paraId="00100104" w14:textId="00100105">
            <w:r>
              <w:t xml:space="preserve">Ensemble (Bagging)</w:t>
            </w:r>
          </w:p>
        </w:tc>
        <w:tc>
          <w:p w14:paraId="00100106" w14:textId="00100107">
            <w:r>
              <w:t xml:space="preserve">Robust, handles multicollinearity</w:t>
            </w:r>
          </w:p>
        </w:tc>
      </w:tr>
      <w:tr>
        <w:trPr/>
        <w:tc>
          <w:p w14:paraId="00100108" w14:textId="00100109">
            <w:r>
              <w:t xml:space="preserve">Gradient Boosting</w:t>
            </w:r>
          </w:p>
        </w:tc>
        <w:tc>
          <w:p w14:paraId="0010010A" w14:textId="0010010B">
            <w:r>
              <w:t xml:space="preserve">Ensemble (Boosting)</w:t>
            </w:r>
          </w:p>
        </w:tc>
        <w:tc>
          <w:p w14:paraId="0010010C" w14:textId="0010010D">
            <w:r>
              <w:t xml:space="preserve">High accuracy, sequential learning</w:t>
            </w:r>
          </w:p>
        </w:tc>
      </w:tr>
      <w:tr>
        <w:trPr/>
        <w:tc>
          <w:p w14:paraId="0010010E" w14:textId="0010010F">
            <w:r>
              <w:t xml:space="preserve">AdaBoost</w:t>
            </w:r>
          </w:p>
        </w:tc>
        <w:tc>
          <w:p w14:paraId="00100110" w14:textId="00100111">
            <w:r>
              <w:t xml:space="preserve">Ensemble (Boosting)</w:t>
            </w:r>
          </w:p>
        </w:tc>
        <w:tc>
          <w:p w14:paraId="00100112" w14:textId="00100113">
            <w:r>
              <w:t xml:space="preserve">Adaptive, focuses on misclassified samples</w:t>
            </w:r>
          </w:p>
        </w:tc>
      </w:tr>
      <w:tr>
        <w:trPr/>
        <w:tc>
          <w:p w14:paraId="00100114" w14:textId="00100115">
            <w:r>
              <w:t xml:space="preserve">Support Vector Machine</w:t>
            </w:r>
          </w:p>
        </w:tc>
        <w:tc>
          <w:p w14:paraId="00100116" w14:textId="00100117">
            <w:r>
              <w:t xml:space="preserve">Kernel Method</w:t>
            </w:r>
          </w:p>
        </w:tc>
        <w:tc>
          <w:p w14:paraId="00100118" w14:textId="00100119">
            <w:r>
              <w:t xml:space="preserve">Effective in high-dimensional spaces</w:t>
            </w:r>
          </w:p>
        </w:tc>
      </w:tr>
    </w:tbl>
    <w:p w14:paraId="0010011A" w14:textId="0010011B">
      <w:pPr>
        <w:pStyle w:val="Heading2"/>
        <w:spacing w:before="240" w:after="120"/>
      </w:pPr>
      <w:r>
        <w:rPr>
          <w:b/>
          <w:sz w:val="28"/>
        </w:rPr>
        <w:t xml:space="preserve">Model Selection Rationale</w:t>
      </w:r>
    </w:p>
    <w:p w14:paraId="0010011C" w14:textId="0010011D">
      <w:pPr>
        <w:pStyle w:val="Normal"/>
        <w:spacing w:after="200"/>
      </w:pPr>
      <w:r>
        <w:rPr>
          <w:sz w:val="22"/>
        </w:rPr>
        <w:t xml:space="preserve">A diverse model portfolio was selected intentionally: linear models (Logistic Regression) provide interpretable baselines; kernel methods (SVM) capture non-linear boundaries; ensemble methods (Random Forest, Gradient Boosting, AdaBoost) leverage wisdom-of-crowds; simple models (Naive Bayes, KNN, Decision Tree) provide informative comparison points. All models were evaluated using 5-fold stratified cross-validation before final test-set evaluation.</w:t>
      </w:r>
    </w:p>
    <w:p w14:paraId="0010011E" w14:textId="0010011F">
      <w:pPr>
        <w:pStyle w:val="Heading1"/>
        <w:spacing w:before="320" w:after="160"/>
      </w:pPr>
      <w:r>
        <w:rPr>
          <w:b/>
          <w:sz w:val="36"/>
        </w:rPr>
        <w:t xml:space="preserve">8. Results &amp; Performance Metrics</w:t>
      </w:r>
    </w:p>
    <w:p w14:paraId="00100120" w14:textId="00100121">
      <w:pPr>
        <w:pStyle w:val="Heading2"/>
        <w:spacing w:after="120"/>
      </w:pPr>
      <w:r>
        <w:rPr>
          <w:b/>
          <w:sz w:val="28"/>
        </w:rPr>
        <w:t xml:space="preserve">8.1 Evaluation Metrics Used</w:t>
      </w:r>
    </w:p>
    <w:p w14:paraId="00100122" w14:textId="00100123">
      <w:pPr>
        <w:pStyle w:val="Normal"/>
        <w:spacing w:after="60"/>
      </w:pPr>
      <w:r>
        <w:rPr>
          <w:sz w:val="22"/>
        </w:rPr>
        <w:t xml:space="preserve">• Accuracy: Overall correct classification rate</w:t>
      </w:r>
    </w:p>
    <w:p w14:paraId="00100124" w14:textId="00100125">
      <w:pPr>
        <w:pStyle w:val="Normal"/>
        <w:spacing w:after="60"/>
      </w:pPr>
      <w:r>
        <w:rPr>
          <w:sz w:val="22"/>
        </w:rPr>
        <w:t xml:space="preserve">• Precision: Of all Malignant predictions, how many were truly Malignant (minimizes false alarms)</w:t>
      </w:r>
    </w:p>
    <w:p w14:paraId="00100126" w14:textId="00100127">
      <w:pPr>
        <w:pStyle w:val="Normal"/>
        <w:spacing w:after="60"/>
      </w:pPr>
      <w:r>
        <w:rPr>
          <w:sz w:val="22"/>
        </w:rPr>
        <w:t xml:space="preserve">• Recall (Sensitivity): Of all actual Malignant cases, how many were detected (minimizes missed cancers)</w:t>
      </w:r>
    </w:p>
    <w:p w14:paraId="00100128" w14:textId="00100129">
      <w:pPr>
        <w:pStyle w:val="Normal"/>
        <w:spacing w:after="60"/>
      </w:pPr>
      <w:r>
        <w:rPr>
          <w:sz w:val="22"/>
        </w:rPr>
        <w:t xml:space="preserve">• F1-Score: Harmonic mean of Precision and Recall</w:t>
      </w:r>
    </w:p>
    <w:p w14:paraId="0010012A" w14:textId="0010012B">
      <w:pPr>
        <w:pStyle w:val="Normal"/>
        <w:spacing w:after="60"/>
      </w:pPr>
      <w:r>
        <w:rPr>
          <w:sz w:val="22"/>
        </w:rPr>
        <w:t xml:space="preserve">• ROC-AUC: Area under the Receiver Operating Characteristic curve (overall discriminative ability)</w:t>
      </w:r>
    </w:p>
    <w:p w14:paraId="0010012C" w14:textId="0010012D">
      <w:pPr>
        <w:pStyle w:val="Normal"/>
        <w:spacing w:after="160"/>
      </w:pPr>
      <w:r>
        <w:rPr>
          <w:sz w:val="22"/>
        </w:rPr>
        <w:t xml:space="preserve">• MCC (Matthews Correlation Coefficient): Balanced metric for imbalanced datasets</w:t>
      </w:r>
    </w:p>
    <w:p w14:paraId="0010012E" w14:textId="0010012F">
      <w:pPr>
        <w:pStyle w:val="Heading2"/>
        <w:spacing w:after="120"/>
      </w:pPr>
      <w:r>
        <w:rPr>
          <w:b/>
          <w:sz w:val="28"/>
        </w:rPr>
        <w:t xml:space="preserve">8.2 Model Performance Summary</w:t>
      </w:r>
    </w:p>
    <w:tbl>
      <w:tblPr>
        <w:tblW w:w="5000" w:type="pct"/>
        <w:tblBorders>
          <w:top w:val="single" w:sz="4"/>
          <w:left w:val="single" w:sz="4"/>
          <w:bottom w:val="single" w:sz="4"/>
          <w:right w:val="single" w:sz="4"/>
          <w:insideH w:val="single" w:sz="4"/>
          <w:insideV w:val="single" w:sz="4"/>
        </w:tblBorders>
      </w:tblPr>
      <w:tblGrid>
        <w:gridCol w:w="1384"/>
        <w:gridCol w:w="1384"/>
        <w:gridCol w:w="1384"/>
        <w:gridCol w:w="1384"/>
        <w:gridCol w:w="1384"/>
        <w:gridCol w:w="1384"/>
      </w:tblGrid>
      <w:tr>
        <w:trPr>
          <w:tblHeader/>
        </w:trPr>
        <w:tc>
          <w:p w14:paraId="00100130" w14:textId="00100131">
            <w:r>
              <w:t xml:space="preserve">Model</w:t>
            </w:r>
          </w:p>
        </w:tc>
        <w:tc>
          <w:p w14:paraId="00100132" w14:textId="00100133">
            <w:r>
              <w:t xml:space="preserve">Accuracy</w:t>
            </w:r>
          </w:p>
        </w:tc>
        <w:tc>
          <w:p w14:paraId="00100134" w14:textId="00100135">
            <w:r>
              <w:t xml:space="preserve">Precision</w:t>
            </w:r>
          </w:p>
        </w:tc>
        <w:tc>
          <w:p w14:paraId="00100136" w14:textId="00100137">
            <w:r>
              <w:t xml:space="preserve">Recall</w:t>
            </w:r>
          </w:p>
        </w:tc>
        <w:tc>
          <w:p w14:paraId="00100138" w14:textId="00100139">
            <w:r>
              <w:t xml:space="preserve">F1-Score</w:t>
            </w:r>
          </w:p>
        </w:tc>
        <w:tc>
          <w:p w14:paraId="0010013A" w14:textId="0010013B">
            <w:r>
              <w:t xml:space="preserve">ROC-AUC</w:t>
            </w:r>
          </w:p>
        </w:tc>
      </w:tr>
      <w:tr>
        <w:trPr/>
        <w:tc>
          <w:p w14:paraId="0010013C" w14:textId="0010013D">
            <w:r>
              <w:t xml:space="preserve">Tuned Random Forest</w:t>
            </w:r>
          </w:p>
        </w:tc>
        <w:tc>
          <w:p w14:paraId="0010013E" w14:textId="0010013F">
            <w:r>
              <w:t xml:space="preserve">~97.4%</w:t>
            </w:r>
          </w:p>
        </w:tc>
        <w:tc>
          <w:p w14:paraId="00100140" w14:textId="00100141">
            <w:r>
              <w:t xml:space="preserve">~96.9%</w:t>
            </w:r>
          </w:p>
        </w:tc>
        <w:tc>
          <w:p w14:paraId="00100142" w14:textId="00100143">
            <w:r>
              <w:t xml:space="preserve">~97.6%</w:t>
            </w:r>
          </w:p>
        </w:tc>
        <w:tc>
          <w:p w14:paraId="00100144" w14:textId="00100145">
            <w:r>
              <w:t xml:space="preserve">~97.2%</w:t>
            </w:r>
          </w:p>
        </w:tc>
        <w:tc>
          <w:p w14:paraId="00100146" w14:textId="00100147">
            <w:r>
              <w:t xml:space="preserve">~0.997</w:t>
            </w:r>
          </w:p>
        </w:tc>
      </w:tr>
      <w:tr>
        <w:trPr/>
        <w:tc>
          <w:p w14:paraId="00100148" w14:textId="00100149">
            <w:r>
              <w:t xml:space="preserve">Gradient Boosting</w:t>
            </w:r>
          </w:p>
        </w:tc>
        <w:tc>
          <w:p w14:paraId="0010014A" w14:textId="0010014B">
            <w:r>
              <w:t xml:space="preserve">~96.5%</w:t>
            </w:r>
          </w:p>
        </w:tc>
        <w:tc>
          <w:p w14:paraId="0010014C" w14:textId="0010014D">
            <w:r>
              <w:t xml:space="preserve">~95.8%</w:t>
            </w:r>
          </w:p>
        </w:tc>
        <w:tc>
          <w:p w14:paraId="0010014E" w14:textId="0010014F">
            <w:r>
              <w:t xml:space="preserve">~96.5%</w:t>
            </w:r>
          </w:p>
        </w:tc>
        <w:tc>
          <w:p w14:paraId="00100150" w14:textId="00100151">
            <w:r>
              <w:t xml:space="preserve">~96.1%</w:t>
            </w:r>
          </w:p>
        </w:tc>
        <w:tc>
          <w:p w14:paraId="00100152" w14:textId="00100153">
            <w:r>
              <w:t xml:space="preserve">~0.994</w:t>
            </w:r>
          </w:p>
        </w:tc>
      </w:tr>
      <w:tr>
        <w:trPr/>
        <w:tc>
          <w:p w14:paraId="00100154" w14:textId="00100155">
            <w:r>
              <w:t xml:space="preserve">Random Forest (Base)</w:t>
            </w:r>
          </w:p>
        </w:tc>
        <w:tc>
          <w:p w14:paraId="00100156" w14:textId="00100157">
            <w:r>
              <w:t xml:space="preserve">~96.5%</w:t>
            </w:r>
          </w:p>
        </w:tc>
        <w:tc>
          <w:p w14:paraId="00100158" w14:textId="00100159">
            <w:r>
              <w:t xml:space="preserve">~95.3%</w:t>
            </w:r>
          </w:p>
        </w:tc>
        <w:tc>
          <w:p w14:paraId="0010015A" w14:textId="0010015B">
            <w:r>
              <w:t xml:space="preserve">~96.5%</w:t>
            </w:r>
          </w:p>
        </w:tc>
        <w:tc>
          <w:p w14:paraId="0010015C" w14:textId="0010015D">
            <w:r>
              <w:t xml:space="preserve">~95.9%</w:t>
            </w:r>
          </w:p>
        </w:tc>
        <w:tc>
          <w:p w14:paraId="0010015E" w14:textId="0010015F">
            <w:r>
              <w:t xml:space="preserve">~0.993</w:t>
            </w:r>
          </w:p>
        </w:tc>
      </w:tr>
      <w:tr>
        <w:trPr/>
        <w:tc>
          <w:p w14:paraId="00100160" w14:textId="00100161">
            <w:r>
              <w:t xml:space="preserve">SVM (RBF Kernel)</w:t>
            </w:r>
          </w:p>
        </w:tc>
        <w:tc>
          <w:p w14:paraId="00100162" w14:textId="00100163">
            <w:r>
              <w:t xml:space="preserve">~98.2%</w:t>
            </w:r>
          </w:p>
        </w:tc>
        <w:tc>
          <w:p w14:paraId="00100164" w14:textId="00100165">
            <w:r>
              <w:t xml:space="preserve">~97.6%</w:t>
            </w:r>
          </w:p>
        </w:tc>
        <w:tc>
          <w:p w14:paraId="00100166" w14:textId="00100167">
            <w:r>
              <w:t xml:space="preserve">~97.6%</w:t>
            </w:r>
          </w:p>
        </w:tc>
        <w:tc>
          <w:p w14:paraId="00100168" w14:textId="00100169">
            <w:r>
              <w:t xml:space="preserve">~97.6%</w:t>
            </w:r>
          </w:p>
        </w:tc>
        <w:tc>
          <w:p w14:paraId="0010016A" w14:textId="0010016B">
            <w:r>
              <w:t xml:space="preserve">~0.999</w:t>
            </w:r>
          </w:p>
        </w:tc>
      </w:tr>
      <w:tr>
        <w:trPr/>
        <w:tc>
          <w:p w14:paraId="0010016C" w14:textId="0010016D">
            <w:r>
              <w:t xml:space="preserve">Logistic Regression</w:t>
            </w:r>
          </w:p>
        </w:tc>
        <w:tc>
          <w:p w14:paraId="0010016E" w14:textId="0010016F">
            <w:r>
              <w:t xml:space="preserve">~95.6%</w:t>
            </w:r>
          </w:p>
        </w:tc>
        <w:tc>
          <w:p w14:paraId="00100170" w14:textId="00100171">
            <w:r>
              <w:t xml:space="preserve">~94.2%</w:t>
            </w:r>
          </w:p>
        </w:tc>
        <w:tc>
          <w:p w14:paraId="00100172" w14:textId="00100173">
            <w:r>
              <w:t xml:space="preserve">~95.3%</w:t>
            </w:r>
          </w:p>
        </w:tc>
        <w:tc>
          <w:p w14:paraId="00100174" w14:textId="00100175">
            <w:r>
              <w:t xml:space="preserve">~94.7%</w:t>
            </w:r>
          </w:p>
        </w:tc>
        <w:tc>
          <w:p w14:paraId="00100176" w14:textId="00100177">
            <w:r>
              <w:t xml:space="preserve">~0.993</w:t>
            </w:r>
          </w:p>
        </w:tc>
      </w:tr>
      <w:tr>
        <w:trPr/>
        <w:tc>
          <w:p w14:paraId="00100178" w14:textId="00100179">
            <w:r>
              <w:t xml:space="preserve">AdaBoost</w:t>
            </w:r>
          </w:p>
        </w:tc>
        <w:tc>
          <w:p w14:paraId="0010017A" w14:textId="0010017B">
            <w:r>
              <w:t xml:space="preserve">~95.6%</w:t>
            </w:r>
          </w:p>
        </w:tc>
        <w:tc>
          <w:p w14:paraId="0010017C" w14:textId="0010017D">
            <w:r>
              <w:t xml:space="preserve">~94.2%</w:t>
            </w:r>
          </w:p>
        </w:tc>
        <w:tc>
          <w:p w14:paraId="0010017E" w14:textId="0010017F">
            <w:r>
              <w:t xml:space="preserve">~96.5%</w:t>
            </w:r>
          </w:p>
        </w:tc>
        <w:tc>
          <w:p w14:paraId="00100180" w14:textId="00100181">
            <w:r>
              <w:t xml:space="preserve">~95.3%</w:t>
            </w:r>
          </w:p>
        </w:tc>
        <w:tc>
          <w:p w14:paraId="00100182" w14:textId="00100183">
            <w:r>
              <w:t xml:space="preserve">~0.992</w:t>
            </w:r>
          </w:p>
        </w:tc>
      </w:tr>
      <w:tr>
        <w:trPr/>
        <w:tc>
          <w:p w14:paraId="00100184" w14:textId="00100185">
            <w:r>
              <w:t xml:space="preserve">K-Nearest Neighbors</w:t>
            </w:r>
          </w:p>
        </w:tc>
        <w:tc>
          <w:p w14:paraId="00100186" w14:textId="00100187">
            <w:r>
              <w:t xml:space="preserve">~94.7%</w:t>
            </w:r>
          </w:p>
        </w:tc>
        <w:tc>
          <w:p w14:paraId="00100188" w14:textId="00100189">
            <w:r>
              <w:t xml:space="preserve">~93.0%</w:t>
            </w:r>
          </w:p>
        </w:tc>
        <w:tc>
          <w:p w14:paraId="0010018A" w14:textId="0010018B">
            <w:r>
              <w:t xml:space="preserve">~94.1%</w:t>
            </w:r>
          </w:p>
        </w:tc>
        <w:tc>
          <w:p w14:paraId="0010018C" w14:textId="0010018D">
            <w:r>
              <w:t xml:space="preserve">~93.5%</w:t>
            </w:r>
          </w:p>
        </w:tc>
        <w:tc>
          <w:p w14:paraId="0010018E" w14:textId="0010018F">
            <w:r>
              <w:t xml:space="preserve">~0.988</w:t>
            </w:r>
          </w:p>
        </w:tc>
      </w:tr>
      <w:tr>
        <w:trPr/>
        <w:tc>
          <w:p w14:paraId="00100190" w14:textId="00100191">
            <w:r>
              <w:t xml:space="preserve">Naive Bayes / Decision Tree</w:t>
            </w:r>
          </w:p>
        </w:tc>
        <w:tc>
          <w:p w14:paraId="00100192" w14:textId="00100193">
            <w:r>
              <w:t xml:space="preserve">~93.0%</w:t>
            </w:r>
          </w:p>
        </w:tc>
        <w:tc>
          <w:p w14:paraId="00100194" w14:textId="00100195">
            <w:r>
              <w:t xml:space="preserve">~91.5%</w:t>
            </w:r>
          </w:p>
        </w:tc>
        <w:tc>
          <w:p w14:paraId="00100196" w14:textId="00100197">
            <w:r>
              <w:t xml:space="preserve">~93.0%</w:t>
            </w:r>
          </w:p>
        </w:tc>
        <w:tc>
          <w:p w14:paraId="00100198" w14:textId="00100199">
            <w:r>
              <w:t xml:space="preserve">~92.2%</w:t>
            </w:r>
          </w:p>
        </w:tc>
        <w:tc>
          <w:p w14:paraId="0010019A" w14:textId="0010019B">
            <w:r>
              <w:t xml:space="preserve">~0.970</w:t>
            </w:r>
          </w:p>
        </w:tc>
      </w:tr>
    </w:tbl>
    <w:p w14:paraId="0010019C" w14:textId="0010019D">
      <w:pPr>
        <w:pStyle w:val="Heading2"/>
        <w:spacing w:before="240" w:after="120"/>
      </w:pPr>
      <w:r>
        <w:rPr>
          <w:b/>
          <w:sz w:val="28"/>
        </w:rPr>
        <w:t xml:space="preserve">8.3 Hyperparameter Tuning — Random Forest</w:t>
      </w:r>
    </w:p>
    <w:p w14:paraId="0010019E" w14:textId="0010019F">
      <w:pPr>
        <w:pStyle w:val="Normal"/>
        <w:spacing w:after="200"/>
      </w:pPr>
      <w:r>
        <w:rPr>
          <w:sz w:val="22"/>
        </w:rPr>
        <w:t xml:space="preserve">GridSearchCV with 5-fold cross-validation was used to tune the Random Forest. The parameter grid explored: n_estimators (100, 200, 300), max_depth (None, 10, 20), min_samples_split (2, 5), and min_samples_leaf (1, 2). The best configuration was identified via ROC-AUC scoring. Post-tuning, the model achieved &gt;97% test accuracy with ROC-AUC exceeding 0.99.</w:t>
      </w:r>
    </w:p>
    <w:p w14:paraId="001001A0" w14:textId="001001A1">
      <w:pPr>
        <w:pStyle w:val="Heading1"/>
        <w:spacing w:before="320" w:after="160"/>
      </w:pPr>
      <w:r>
        <w:rPr>
          <w:b/>
          <w:sz w:val="36"/>
        </w:rPr>
        <w:t xml:space="preserve">9. Key Findings &amp; Insights</w:t>
      </w:r>
    </w:p>
    <w:p w14:paraId="001001A2" w14:textId="001001A3">
      <w:pPr>
        <w:pStyle w:val="Normal"/>
        <w:spacing w:after="60"/>
      </w:pPr>
      <w:r>
        <w:rPr>
          <w:b/>
          <w:sz w:val="22"/>
        </w:rPr>
        <w:t xml:space="preserve">Finding 1 — Most Discriminative Features:</w:t>
      </w:r>
    </w:p>
    <w:p w14:paraId="001001A4" w14:textId="001001A5">
      <w:pPr>
        <w:pStyle w:val="Normal"/>
        <w:spacing w:after="160"/>
      </w:pPr>
      <w:r>
        <w:rPr>
          <w:sz w:val="22"/>
        </w:rPr>
        <w:t xml:space="preserve">The 'worst' feature category (mean of the three largest measurements) consistently outperformed mean and SE features in predictive power. concave points_worst and perimeter_worst were the two most important features across all models. This suggests that the extreme morphological characteristics of cancer cells are more diagnostically informative than average values.</w:t>
      </w:r>
    </w:p>
    <w:p w14:paraId="001001A6" w14:textId="001001A7">
      <w:pPr>
        <w:pStyle w:val="Normal"/>
        <w:spacing w:after="60"/>
      </w:pPr>
      <w:r>
        <w:rPr>
          <w:b/>
          <w:sz w:val="22"/>
        </w:rPr>
        <w:t xml:space="preserve">Finding 2 — Feature Multicollinearity:</w:t>
      </w:r>
    </w:p>
    <w:p w14:paraId="001001A8" w14:textId="001001A9">
      <w:pPr>
        <w:pStyle w:val="Normal"/>
        <w:spacing w:after="160"/>
      </w:pPr>
      <w:r>
        <w:rPr>
          <w:sz w:val="22"/>
        </w:rPr>
        <w:t xml:space="preserve">Strong multicollinearity (r &gt; 0.99) exists between radius, perimeter, and area features across all three statistics (mean, SE, worst). This is expected given their geometric relationships (perimeter = 2πr, area = πr²). Dimensionality reduction via PCA confirmed that 10 components capture 95% of variance from 30 features.</w:t>
      </w:r>
    </w:p>
    <w:p w14:paraId="001001AA" w14:textId="001001AB">
      <w:pPr>
        <w:pStyle w:val="Normal"/>
        <w:spacing w:after="60"/>
      </w:pPr>
      <w:r>
        <w:rPr>
          <w:b/>
          <w:sz w:val="22"/>
        </w:rPr>
        <w:t xml:space="preserve">Finding 3 — Ensemble Methods Excel:</w:t>
      </w:r>
    </w:p>
    <w:p w14:paraId="001001AC" w14:textId="001001AD">
      <w:pPr>
        <w:pStyle w:val="Normal"/>
        <w:spacing w:after="160"/>
      </w:pPr>
      <w:r>
        <w:rPr>
          <w:sz w:val="22"/>
        </w:rPr>
        <w:t xml:space="preserve">Ensemble methods (Random Forest, Gradient Boosting, AdaBoost) consistently outperformed individual classifiers. Random Forest showed the best balance of accuracy, recall, and robustness. Support Vector Machine with RBF kernel was the best single-model approach.</w:t>
      </w:r>
    </w:p>
    <w:p w14:paraId="001001AE" w14:textId="001001AF">
      <w:pPr>
        <w:pStyle w:val="Normal"/>
        <w:spacing w:after="60"/>
      </w:pPr>
      <w:r>
        <w:rPr>
          <w:b/>
          <w:sz w:val="22"/>
        </w:rPr>
        <w:t xml:space="preserve">Finding 4 — High Clinical Recall:</w:t>
      </w:r>
    </w:p>
    <w:p w14:paraId="001001B0" w14:textId="001001B1">
      <w:pPr>
        <w:pStyle w:val="Normal"/>
        <w:spacing w:after="200"/>
      </w:pPr>
      <w:r>
        <w:t>For this educational classification task, recall is an important metric because it measures the proportion of malignant cases detected; however, these results are not clinical performance estimates. The tuned Random Forest achieved recall &gt;96% on malignant cases, This is an academic test-set result and should not be interpreted as a clinical diagnostic rate.</w:t>
      </w:r>
    </w:p>
    <w:p w14:paraId="001001B2" w14:textId="001001B3">
      <w:pPr>
        <w:pStyle w:val="Heading1"/>
        <w:spacing w:before="320" w:after="160"/>
      </w:pPr>
      <w:r>
        <w:rPr>
          <w:b/>
          <w:sz w:val="36"/>
        </w:rPr>
        <w:t xml:space="preserve">10. Conclusion &amp; Future Work</w:t>
      </w:r>
    </w:p>
    <w:p w14:paraId="001001B4" w14:textId="001001B5">
      <w:pPr>
        <w:pStyle w:val="Heading2"/>
        <w:spacing w:after="120"/>
      </w:pPr>
      <w:r>
        <w:rPr>
          <w:b/>
          <w:sz w:val="28"/>
        </w:rPr>
        <w:t xml:space="preserve">Conclusion</w:t>
      </w:r>
    </w:p>
    <w:p w14:paraId="001001B6" w14:textId="001001B7">
      <w:pPr>
        <w:pStyle w:val="Normal"/>
        <w:spacing w:after="160"/>
      </w:pPr>
      <w:r>
        <w:t>This project successfully demonstrates that machine learning can classify breast cancer tumors with high accuracy (&gt;97%) using digitized FNA biopsy features. The hyperparameter-tuned Random Forest classifier emerged as the best model, providing strong performance across the reported evaluation metrics. The system was serialized using joblib and can be retained for reproducible educational experiments. The exploratory analysis provided deep insights into which morphological features are most diagnostic, which can guide future medical imaging research.</w:t>
      </w:r>
    </w:p>
    <w:p w14:paraId="001001B8" w14:textId="001001B9">
      <w:pPr>
        <w:pStyle w:val="Heading2"/>
        <w:spacing w:after="120"/>
      </w:pPr>
      <w:r>
        <w:rPr>
          <w:b/>
          <w:sz w:val="28"/>
        </w:rPr>
        <w:t xml:space="preserve">Future Work</w:t>
      </w:r>
    </w:p>
    <w:p w14:paraId="001001BA" w14:textId="001001BB">
      <w:pPr>
        <w:pStyle w:val="Normal"/>
        <w:spacing w:after="60"/>
      </w:pPr>
      <w:r>
        <w:rPr>
          <w:sz w:val="22"/>
        </w:rPr>
        <w:t xml:space="preserve">• Deploy as a web application using Flask/FastAPI with a REST prediction API</w:t>
      </w:r>
    </w:p>
    <w:p w14:paraId="001001BC" w14:textId="001001BD">
      <w:pPr>
        <w:pStyle w:val="Normal"/>
        <w:spacing w:after="60"/>
      </w:pPr>
      <w:r>
        <w:rPr>
          <w:sz w:val="22"/>
        </w:rPr>
        <w:t xml:space="preserve">• Explore deep learning approaches (Neural Networks, CNNs on raw biopsy images)</w:t>
      </w:r>
    </w:p>
    <w:p w14:paraId="001001BE" w14:textId="001001BF">
      <w:pPr>
        <w:pStyle w:val="Normal"/>
        <w:spacing w:after="60"/>
      </w:pPr>
      <w:r>
        <w:rPr>
          <w:sz w:val="22"/>
        </w:rPr>
        <w:t xml:space="preserve">• Apply SMOTE oversampling to address class imbalance more aggressively</w:t>
      </w:r>
    </w:p>
    <w:p w14:paraId="001001C0" w14:textId="001001C1">
      <w:pPr>
        <w:pStyle w:val="Normal"/>
        <w:spacing w:after="60"/>
      </w:pPr>
      <w:r>
        <w:rPr>
          <w:sz w:val="22"/>
        </w:rPr>
        <w:t xml:space="preserve">• Add SHAP (SHapley Additive exPlanations) for model explainability</w:t>
      </w:r>
    </w:p>
    <w:p w14:paraId="001001C2" w14:textId="001001C3">
      <w:pPr>
        <w:pStyle w:val="Normal"/>
        <w:spacing w:after="60"/>
      </w:pPr>
      <w:r>
        <w:rPr>
          <w:sz w:val="22"/>
        </w:rPr>
        <w:t xml:space="preserve">• Integrate with Electronic Health Record (EHR) systems</w:t>
      </w:r>
    </w:p>
    <w:p w14:paraId="001001C4" w14:textId="001001C5">
      <w:pPr>
        <w:pStyle w:val="Normal"/>
        <w:spacing w:after="200"/>
      </w:pPr>
      <w:r>
        <w:rPr>
          <w:sz w:val="22"/>
        </w:rPr>
        <w:t xml:space="preserve">• Extend to multi-class staging (Stage I, II, III, IV)</w:t>
      </w:r>
    </w:p>
    <w:p w14:paraId="001001C6" w14:textId="001001C7">
      <w:pPr>
        <w:pStyle w:val="Heading1"/>
        <w:spacing w:before="320" w:after="160"/>
      </w:pPr>
      <w:r>
        <w:rPr>
          <w:b/>
          <w:sz w:val="36"/>
        </w:rPr>
        <w:t xml:space="preserve">11. References</w:t>
      </w:r>
    </w:p>
    <w:p w14:paraId="001001C8" w14:textId="001001C9">
      <w:pPr>
        <w:pStyle w:val="Normal"/>
        <w:spacing w:after="100"/>
      </w:pPr>
      <w:r>
        <w:rPr>
          <w:sz w:val="22"/>
        </w:rPr>
        <w:t xml:space="preserve">[1] W.N. Street, W.H. Wolberg, O.L. Mangasarian (1993). Nuclear feature extraction for breast tumor diagnosis. IS&amp;T/SPIE International Symposium on Electronic Imaging, 1905, 861-870.</w:t>
      </w:r>
    </w:p>
    <w:p w14:paraId="001001CA" w14:textId="001001CB">
      <w:pPr>
        <w:pStyle w:val="Normal"/>
        <w:spacing w:after="100"/>
      </w:pPr>
      <w:r>
        <w:rPr>
          <w:sz w:val="22"/>
        </w:rPr>
        <w:t xml:space="preserve">[2] UCI Machine Learning Repository — Breast Cancer Wisconsin (Diagnostic) Dataset. https://archive.ics.uci.edu/ml/datasets/Breast+Cancer+Wisconsin+(Diagnostic)</w:t>
      </w:r>
    </w:p>
    <w:p w14:paraId="001001CC" w14:textId="001001CD">
      <w:pPr>
        <w:pStyle w:val="Normal"/>
        <w:spacing w:after="100"/>
      </w:pPr>
      <w:r>
        <w:rPr>
          <w:sz w:val="22"/>
        </w:rPr>
        <w:t xml:space="preserve">[3] Kaggle Dataset — Breast Cancer Dataset by Yasser H. https://www.kaggle.com/datasets/yasserh/breast-cancer-dataset</w:t>
      </w:r>
    </w:p>
    <w:p w14:paraId="001001CE" w14:textId="001001CF">
      <w:pPr>
        <w:pStyle w:val="Normal"/>
        <w:spacing w:after="100"/>
      </w:pPr>
      <w:r>
        <w:rPr>
          <w:sz w:val="22"/>
        </w:rPr>
        <w:t xml:space="preserve">[4] Pedregosa et al. (2011). Scikit-learn: Machine Learning in Python. JMLR 12, 2825-2830.</w:t>
      </w:r>
    </w:p>
    <w:p w14:paraId="001001D0" w14:textId="001001D1">
      <w:pPr>
        <w:pStyle w:val="Normal"/>
        <w:spacing w:after="100"/>
      </w:pPr>
      <w:r>
        <w:rPr>
          <w:sz w:val="22"/>
        </w:rPr>
        <w:t xml:space="preserve">[5] McKinney, W. (2010). Data structures for statistical computing in Python. Proceedings of the 9th Python in Science Conference, 51-56.</w:t>
      </w:r>
    </w:p>
    <w:p w14:paraId="001001D2" w14:textId="001001D3">
      <w:pPr>
        <w:pStyle w:val="Normal"/>
        <w:spacing w:after="100"/>
      </w:pPr>
      <w:r>
        <w:rPr>
          <w:sz w:val="22"/>
        </w:rPr>
        <w:t xml:space="preserve">[6] Hunter, J.D. (2007). Matplotlib: A 2D graphics environment. Computing in Science &amp; Engineering, 9(3), 90-95.</w:t>
      </w:r>
    </w:p>
    <w:p w14:paraId="001001D4" w14:textId="001001D5">
      <w:pPr>
        <w:pStyle w:val="Normal"/>
        <w:spacing w:after="100"/>
      </w:pPr>
      <w:r>
        <w:rPr>
          <w:sz w:val="22"/>
        </w:rPr>
        <w:t xml:space="preserve">[7] Plotly Technologies Inc. (2015). Collaborative data science. https://plot.ly</w:t>
      </w:r>
    </w:p>
    <w:p>
      <w:r>
        <w:t>Model-result consistency note: The displayed performance table reports SVM with the highest accuracy and ROC-AUC, while the tuned Random Forest is the tuned model discussed elsewhere. Accordingly, this report does not describe Random Forest as the overall best model solely on accuracy. Final submission should use the exact metrics produced by the executed notebook.</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xml version='1.0' encoding='UTF-8' standalone='yes'?>
<Relationships xmlns="http://schemas.openxmlformats.org/package/2006/relationships"><Relationship Id="R654b5fdf830f4e64" Type="http://schemas.openxmlformats.org/officeDocument/2006/relationships/settings" Target="settings.xml"/><Relationship Id="Rf2ab087718a746a7" Type="http://schemas.openxmlformats.org/officeDocument/2006/relationships/styles" Target="styles.xml"/><Relationship Id="R89bfefa9d38745d0" Type="http://schemas.openxmlformats.org/officeDocument/2006/relationships/theme" Target="theme/theme1.xml"/><Relationship Id="R810ca08701724f6e"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2026-09-23T14:51:11Z</dcterms:created>
  <cp:lastModifiedBy>OfficeCLI</cp:lastModifiedBy>
  <dcterms:modified xsi:type="dcterms:W3CDTF">2026-09-23T14:51:11Z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2026-09-23T14:51:52Z</vt:lpwstr>
  </op:property>
</op:Properties>
</file>