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2744"/>
          <w:sz w:val="72"/>
          <w:szCs w:val="72"/>
        </w:rPr>
        <w:t xml:space="preserve">Four-Way Regulatory Comparison</w:t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C2A677"/>
          <w:sz w:val="44"/>
          <w:szCs w:val="44"/>
        </w:rPr>
        <w:t xml:space="preserve">US Fed vs BCBS vs UK PRA vs EU EBA</w:t>
      </w:r>
    </w:p>
    <w:p>
      <w:pPr>
        <w:spacing w:before="400"/>
        <w:jc w:val="center"/>
      </w:pPr>
      <w:r>
        <w:rPr>
          <w:color w:val="1A2744"/>
          <w:sz w:val="28"/>
          <w:szCs w:val="28"/>
        </w:rPr>
        <w:t xml:space="preserve">Basel III Endgame — Cross-Jurisdictional Analysis</w:t>
      </w:r>
    </w:p>
    <w:p>
      <w:pPr>
        <w:spacing w:before="1500"/>
      </w:pPr>
    </w:p>
    <w:p>
      <w:pPr>
        <w:jc w:val="center"/>
      </w:pPr>
      <w:r>
        <w:rPr>
          <w:color w:val="C2A677"/>
          <w:sz w:val="20"/>
          <w:szCs w:val="20"/>
        </w:rPr>
        <w:t xml:space="preserve">________________________________________________________________________________</w:t>
      </w:r>
    </w:p>
    <w:p>
      <w:pPr>
        <w:spacing w:before="200"/>
        <w:jc w:val="center"/>
      </w:pPr>
      <w:r>
        <w:rPr>
          <w:sz w:val="20"/>
          <w:szCs w:val="20"/>
        </w:rPr>
        <w:t xml:space="preserve">FNBC-BIII-2026-001  |  CONFIDENTIAL  |  2026-04-10</w:t>
      </w:r>
    </w:p>
    <w:p>
      <w:pPr>
        <w:pageBreakBefore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Implementation Timeline &amp; Phase-In Schedule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Effective date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1, 2028 [Re-Proposal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2023 (orig); Jan 1, 2028 (rec) [d424 P.1]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1, 2025 [PS1/26 S1.1]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2025 [CRR3 Art 461]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BCBS original target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2022 (delayed COVID)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 (IRB)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IRB) [Re-Proposal P.95]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2023 [d424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Jul 2025 [PS1/26 S3.1]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Jan 2025 [CRR3 Art 465]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2025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2026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2027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2028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2029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2030+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[d424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SA go-live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(rec)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2025 [CRR3 Art 325a]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IMA go-live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(with approval)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(with approval)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2026 [CRR3 Art 325az]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OpRisk SMA go-live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2025 [CRR3 Art 312]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Pillar 3 Phase 1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Jun 2025 (first disclosure) [CRR3 Art 433]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CRD6 transposition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(UK not EU)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Feb 2026 deadline [CRD6 Art 2]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Framework: Ratios, Buffers &amp; Deductions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CET1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[12 CFR 217.10]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[d424 P.49]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[PS1/26 S2.1]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[CRR3 Art 92(1)(a)]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Tier 1 minimum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[12 CFR 217.10]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[d424 P.49]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[PS1/26 S2.1]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[CRR3 Art 92(1)(b)]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Total capital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[12 CFR 217.10]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[d424 P.49]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[PS1/26 S2.1]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[CRR3 Art 92(1)(c)]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CET1 [12 CFR 217.11]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[d424 P.50]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[PS1/26 S2.3]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[CRD6 Art 129]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surcharge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20bp bands/0.1% inc [Re-Proposal P.44]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100bp bands/0.5% inc [d424 P.51]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 S2.5]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[CRD6 Art 131]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SCB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&gt;=2.5% (replaces CCB) [12 CFR 217.11]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framework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(use P2G)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(use P2G) [CRD6]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CCyB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[12 CFR 217.11(b)]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[d424 P.50]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(2% standard) [PRA]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[CRD6 Art 130]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Minimum leverage ratio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(SLR) [12 CFR 217.10(a)(5)]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[d424 P.53]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3.25% (UK-specific) [PS1/26 S2.7]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[CRR3 Art 92(1)(d)]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Enhanced leverage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eSLR for Cat I G-SIBs [12 CFR 217.11(d)]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BCBS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G-SII leverage buffer [CRR3 Art 92a]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Goodwill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[12 CFR 217.22]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[d424 P.52]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[CRR3 Art 36(1)(b)]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DTA (timing)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[12 CFR 217.22(d)]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[d424 P.52]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[CRR3 Art 48]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MSA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RW (NOT deducted) [Re-Proposal P.78]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[d424 P.52]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[CRR3 Art 36]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Significant investments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[12 CFR 217.22(d)]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48]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Software DTA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[12 CFR 217.22]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 CARVE-OUT: not deducted [CRR3 Art 36(1)(b)]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AOCI recognition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recognition [12 CFR 217.22]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Filter option REMOVED under CRR3 [CRR3 Art 35]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AT1 trigger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CoCo market) [US practice]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5.125% CET1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7% CET1 [PRA rules]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(mostly 5.125%) [CRR3 Art 54]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SA: Full Risk Weight Comparison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CRC/CQS 0-1 / AAA-AA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 CRE20.7]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 S4.1]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2 / 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 P.102]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3 /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4-5 / BB-B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 P.102]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6-7 / CCC or below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Rating basis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CRC (OECD, no ext ratings) [Dodd-Frank 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[d424 CRE20.7]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[CRR3 Art 114]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approach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Self-assessment Grade A/B/C [Re-Proposal P.124]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or SCRA [d424 CRE20.16]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(aligned BCBS) [PS1/26 S4.3]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CQS-based [CRR3 Art 120]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A / CQS 1-2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30-40% [Re-Proposal P.124]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ECAI; 30-40% SCRA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[CRR3 Art 120]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B / CQS 3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[Re-Proposal P.126]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50-75%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C / CQS 4-6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[CRR3 Art 120]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standard (unrated)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 P.130]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 CRE20.25]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IG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(self-assessed) [Re-Proposal P.130]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(PD&lt;=0.5% transitional)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(PD&lt;=0.5%)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(CRR3 Art 122a transitional)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AAA-AA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(Dodd-Frank)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CRE20.25]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BB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122]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&lt;BB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[CRR3 Art 122]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RW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[Re-Proposal P.132]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[d424 CRE20.28]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[CRR3 Art 122(2)]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USD 75M revenue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50M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44M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50M [CRR3 Art 122(2)]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supporting factor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0.7619x RETAINED [CRR3 Art 501]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Project finance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(no PF RW)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high-quality [d424 CRE20.32]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[CRR3 Art 122a(3)]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Object finance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[CRR3]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Regulatory retail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[Re-Proposal P.138]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[d424 CRE20.37]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[CRR3 Art 123]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Transactor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[Re-Proposal P.156]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[d424 CRE20.38]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[CRR3 Art 123(1a)]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Retail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USD 1M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1M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1M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1M [CRR3 Art 123]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0-50%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 P.142]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CRE20.43]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50-60%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60-70%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70-80%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80-90%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90-100%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&gt;100%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ADC/HVCRE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100/150% (HVCRE split) [Re-Proposal P.150]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[CRR3 Art 126a]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public traded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[Re-Proposal P.160]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[d424 CRE20.55]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(phased Art 495a)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speculative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(phased)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EU phase-in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2025-2030 phase-in [CRR3 Art 495a]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Past due &gt;90 days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[Re-Proposal P.155]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(100% if prov&gt;=20%) [d424 CRE20.51]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if provisions&gt;=20% [CRR3 Art 127]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Defaulted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150%/100%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[CRR3 Art 127]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Covered bonds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10-100%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[CRR3 Art 129]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Off-Balance Sheet Credit Conversion Factors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Commitments &gt;1Y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 P.170]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 CRE20.69]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Commitments &lt;=1Y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UNIFORM [Re-Proposal P.170]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CRE20.69]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UCC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[Re-Proposal P.172]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[d424 CRE20.70]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Direct credit substitutes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Trade-related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NIF/RUF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Performance guarantees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Repo-style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Impact: $500B ST commit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+$100B RWA vs BCBS/UK/EU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as BCBS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as BCBS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Mitigation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E* formula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max(0,E*(1+He)-C*(1-Hc-Hfx)) [Re-Proposal P.200]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CRE22.51]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223]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Currency mismatch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add-on [Re-Proposal P.210]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[d424 CRE22.60]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Maturity mismatch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(t-0.25)/(T-0.25) [Re-Proposal P.212]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CRE22.65]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237]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Credit deriv restructuring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adjustment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233]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Simple approach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CRE22.72]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222(5)]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Cash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&lt;=1Y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1-5Y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&gt;5Y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&lt;=1Y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1-5Y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&gt;5Y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Equity main idx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Equity other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Gold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224]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6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SA-CCR: Counterparty Credit Risk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Alpha (financial)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[Re-Proposal P.220]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[d424 CRE52.30]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[CRR3 Art 274]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Alpha (non-financial)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(end-user) [Re-Proposal P.220]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(nat disc for 1.0)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(pensions+NFC)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(pensions+NFC&lt;thresh) [CRR3 Art 274]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Interest Rate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[d424 CRE52.40]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[CRR3 Art 280a]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FX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[CRR3 Art 280c]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Credit IG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[CRR3 Art 280d]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Credit Spec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[CRR3 Art 280d]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Equity single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[CRR3 Art 280e]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Equity index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280e]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Comm electricity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280f]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Comm other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[CRR3 Art 280f]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Multiplier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(0.05)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[d424 CRE52.41]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[CRR3 Art 278]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RC unmargined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max(V-C, 0)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CRE52.31]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275]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RC margined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max(V-C, TH+MTA-NICA, 0)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CRE52.34]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275]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7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CVA Risk Framework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BA-CVA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(index hedges only) [Re-Proposal P.284]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[d424 MAR50]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[CRR3 Art 382]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SA-CVA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[Re-Proposal P.290]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[d424 MAR51]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[CRR3 Art 383]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Client-cleared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 P.296]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 MAR50.4]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FX &lt;=T+2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SFTs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 P.296]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exempt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Pensions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Intra-group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$1T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only) [Re-Proposal P.282]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[CRR3]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8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FRTB Market Risk: Key Risk Weights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$5B 4Q avg [Re-Proposal P.300]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Proportionality [d457 MAR10]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50M bilateral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500M or % assets [CRR3 Art 325a]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0.25Y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[Re-Proposal P.312]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[d457 MAR21.8]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[CRR3 Art 325q]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[CRR3 Art 325q]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[CRR3 Art 325q]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10Y-30Y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[CRR3 Art 325q]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inflation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Sov IG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[d457 MAR21.12]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 Art 325s]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Corp IG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HY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large AE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[Re-Proposal P.340]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[d457 MAR21.17]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325w]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small cap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index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FX all pairs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 P.360]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[d457 MAR21.21]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325y]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Commodity crude/coal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[d457 MAR21.19]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325aa]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DRC AAA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[d457 MAR22.14]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DRC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RRAO exotic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[Re-Proposal P.420]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[d457 MAR23.4]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[CRR3 Art 325u]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RRAO other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[CRR3]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9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Operational Risk: SMA Components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 = ILDC+SC+FC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 P.252]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[d424 S5.2]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314]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ILDC interest cap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IEA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[d424 S5.3]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[CRR3 Art 314]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NIC 0.7x inv mgmt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specific) [Re-Proposal P.254]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BCBS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12% (&lt;=EUR 1B)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[Re-Proposal P.260]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[d424 S5.7]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[CRR3 Art 315]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15% (EUR 1-30B)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315]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18% (&gt;EUR 30B)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[CRR3 Art 315]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(NOT applied) [Re-Proposal P.262]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[d424 S5.11]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[CRR3 Art 315(2)]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P1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required [Re-Proposal P.264]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Required [d424 S5.10]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required P1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MANDATORY (EUR 20K, 10Y) [CRR3 Art 316]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COREP templates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[US reporting]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[BCBS]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[PRA reporting]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C16.02-04 mandatory [CRR3/ITS]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M&amp;A loss inclusion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Supervisory discretion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Include if material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Case-by-case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Include if material [CRR3 Art 316(5)]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10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Securitization: Hierarchy &amp; STS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Hierarchy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SEC-SA only [Re-Proposal P.400]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SEC-IRBA&gt;ERBA&gt;SA [d424 CRE40]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hierarchy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hierarchy [CRR3 Art 254]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framework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Optional [d424 CRE40.73]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(UK STS)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Yes, 10% RW floor [CRR3 Art 243]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RW benefit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Lower p=0.3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Lower RW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floor (vs 15%) [CRR3 Art 260]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Risk retention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[Re-Proposal P.410]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[d424 CRE40.5]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[CRR3 Art 405]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1250% cap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267]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SRT assessment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 rules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Principle-based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PRA review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EBA RTS [CRR3 Art 244]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IRB: Availability, Floors &amp; Output Floor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 availability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ELIMINATED [Re-Proposal P.95]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(restricted) [d424 CRE30]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(A-IRB limited)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(A-IRB limited) [CRR3 Art 142]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IRB)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of SA RWA [d424 P.4]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(phased 2025-2030)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(phased 2025-2030) [CRR3 Art 465]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F-IRB for corporates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[d424 CRE31]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[CRR3 Art 143]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corporates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(large corp)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[CRR3 Art 143]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banks/FIs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[CRR3 Art 150]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equity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[CRR3 Art 155]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corporate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(0.05%) [d424 CRE31.4]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160(1)]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MTG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[d424 CRE32.5]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QRE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[d424 CRE32.7]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[CRR3 Art 163]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other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[d424 CRE32.9]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unsecured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 CRE31.4]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161(4)]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(fin)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161(4)]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(RE)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161(4)]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(other)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161(4)]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Correlation formula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R=0.12*(1-e^-50PD)/(1-e^-50)+0.24*(1-f)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153]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Large Exposures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Standard limit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[12 CFR 252.72]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[d283 S2]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[CRR3 Art 395]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to G-SIB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of Tier 1 [12 CFR 252.72(a)]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[d283 S2]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395(1a)]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Reporting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of Tier 1 [12 CFR 252.78]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[d283]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394]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Sovereign exemption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govt) [12 CFR 252.77]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[d283]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(UK govt)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(EU member state) [CRR3 Art 400]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Connected parties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Economic interdependence [12 CFR 252.76]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[d283 S5]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[CRR3 Art 4(39)]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Pillar 2, Pillar 3, ESG &amp; Liquidity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ICAAP/SREP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CCAR + supervisory [Fed SR 12-7]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Pillar 2 framework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ICAAP+PRA buffer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SREP + P2R + P2G [CRD6 Art 104a]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IRRBB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Part of CCAR [Fed SR 15-18]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 prescribed scenarios [d368]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Aligned BCBS d368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Aligned BCBS d368 [CRD6 Art 84]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ESG risk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framework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Principles published [BCBS 2024]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Climate scenario testing [PRA SS3/19]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MANDATORY ESG in SREP [CRD6 Art 87a]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OV1 (Overview RWA)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438]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KM1 (Key Metrics)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447]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CC1/CC2 (Capital)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437]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CR1-CR5 (Credit)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MR1-MR4 (Market)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OR1 (OpRisk)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446]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LR1-LR2 (Leverage)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451]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LCR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[12 CFR 249]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Standard [d295]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[PRA]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[CRR3 Art 412]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NSFR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[12 CFR 249]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Standard [d295]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[PRA]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[CRR3 Art 428a]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Conservatism Scorecard: 20-Dimension RAG Assessment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Credit risk SA RWs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Off-balance sheet CCFs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 availability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MSA treatment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CVA scope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OpRisk ILM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requirement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methodology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AT1 trigger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securitization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ESG integration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Real estate RWs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phase-in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Past due treatment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supporting factor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Large exposures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Pillar 3 disclosure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Key Numbers for Senior Management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CET1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(or SCB&gt;=2.5%)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surcharge range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eSLR (Cat I)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3.25%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+ buffer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IG risk weight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(transitional)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(transitional)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Retail transactor RW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RE 80-90% LTV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OBS &lt;=1Y commitment CCF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$5B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Proportionality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50M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500M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ILM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ELIMINATED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bands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20bp / 0.1%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100bp / 0.5%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securitization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Optional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(10% floor)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required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(P1)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(P1)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(EUR 20K, 10Y)</w:t>
            </w:r>
          </w:p>
        </w:tc>
      </w:tr>
    </w:tbl>
    <w:sectPr>
      <w:pgSz w:w="12240" w:h="15840" w:orient="landscape"/>
      <w:pgMar w:top="720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2026-04-10T14:01:03.941Z</dcterms:created>
  <dcterms:modified xsi:type="dcterms:W3CDTF">2026-04-10T14:01:03.941Z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